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02E90" w14:textId="6BF25120" w:rsidR="00413A92" w:rsidRPr="00DA1BD0" w:rsidRDefault="00413A92" w:rsidP="00DA1BD0">
      <w:pPr>
        <w:jc w:val="center"/>
        <w:rPr>
          <w:rFonts w:cs="Times New Roman"/>
          <w:szCs w:val="20"/>
        </w:rPr>
      </w:pPr>
      <w:r w:rsidRPr="00EA36AA">
        <w:rPr>
          <w:rFonts w:asciiTheme="majorHAnsi" w:hAnsiTheme="majorHAnsi"/>
          <w:b/>
          <w:sz w:val="28"/>
          <w:szCs w:val="28"/>
        </w:rPr>
        <w:t>High-Quality Teaching and Learning</w:t>
      </w:r>
    </w:p>
    <w:p w14:paraId="4EE73649" w14:textId="181EC28A" w:rsidR="00413A92" w:rsidRDefault="00413A92" w:rsidP="00413A92">
      <w:pPr>
        <w:jc w:val="center"/>
      </w:pPr>
      <w:r w:rsidRPr="00EA36AA">
        <w:rPr>
          <w:rFonts w:asciiTheme="majorHAnsi" w:hAnsiTheme="majorHAnsi"/>
          <w:b/>
          <w:sz w:val="28"/>
          <w:szCs w:val="28"/>
        </w:rPr>
        <w:t>at Elon University</w:t>
      </w:r>
      <w:r w:rsidR="001A1FF1">
        <w:rPr>
          <w:rFonts w:asciiTheme="majorHAnsi" w:hAnsiTheme="majorHAnsi"/>
          <w:b/>
          <w:sz w:val="28"/>
          <w:szCs w:val="28"/>
        </w:rPr>
        <w:t>*</w:t>
      </w:r>
    </w:p>
    <w:p w14:paraId="171A5E8C" w14:textId="77777777" w:rsidR="00413A92" w:rsidRDefault="00413A92" w:rsidP="00413A92"/>
    <w:p w14:paraId="69A9D408" w14:textId="77777777" w:rsidR="00413A92" w:rsidRDefault="00413A92" w:rsidP="00413A92"/>
    <w:p w14:paraId="3338396F" w14:textId="77777777" w:rsidR="00413A92" w:rsidRDefault="00413A92" w:rsidP="00413A92">
      <w:r>
        <w:t xml:space="preserve">Elon University is committed to providing students with the preeminent engaged learning environment, animated most significantly by a faculty guided by its self-authored Teacher-Scholar model. Consequently, the University is deeply committed to supporting the ongoing development of and pursuit of excellence among its teaching faculty. </w:t>
      </w:r>
    </w:p>
    <w:p w14:paraId="0F001AD7" w14:textId="77777777" w:rsidR="00413A92" w:rsidRDefault="00413A92" w:rsidP="00413A92"/>
    <w:p w14:paraId="12125079" w14:textId="77777777" w:rsidR="00413A92" w:rsidRDefault="00413A92" w:rsidP="00413A92">
      <w:r>
        <w:t xml:space="preserve">The following identifies six measures of high-quality teaching at Elon, with the first four reflecting primary measures that have the most direct impact on quality and the last two measures reflecting secondary measures that have significant impact on the broader teaching and learning context. </w:t>
      </w:r>
      <w:proofErr w:type="gramStart"/>
      <w:r>
        <w:t>As a whole, these</w:t>
      </w:r>
      <w:proofErr w:type="gramEnd"/>
      <w:r>
        <w:t xml:space="preserve"> measures aim to (a) motivate and guide faculty members’ individual goal-directed development; (b) encourage critical reflection about one’s own teaching against defined measures; (c) identify measures within which one might gather evidence about effectiveness and growth over time; and (d) sustain individual as well as cross-faculty commitment to excellence in teaching.</w:t>
      </w:r>
    </w:p>
    <w:p w14:paraId="63A5E56E" w14:textId="77777777" w:rsidR="00413A92" w:rsidRDefault="00413A92" w:rsidP="00413A92"/>
    <w:p w14:paraId="6E5FA4FE" w14:textId="77777777" w:rsidR="00413A92" w:rsidRDefault="00413A92" w:rsidP="00413A92">
      <w:r>
        <w:t>Each faculty member is expected to pursue high-quality teaching and learning across all measures, striving for excellence and even leading-edge quality within some measures over time.</w:t>
      </w:r>
    </w:p>
    <w:p w14:paraId="6649A406" w14:textId="77777777" w:rsidR="00413A92" w:rsidRDefault="00413A92" w:rsidP="00413A92"/>
    <w:p w14:paraId="32266ED8" w14:textId="77777777" w:rsidR="00413A92" w:rsidRDefault="00413A92" w:rsidP="00413A92"/>
    <w:p w14:paraId="07772732" w14:textId="77777777" w:rsidR="00413A92" w:rsidRPr="009E63A5" w:rsidRDefault="00413A92" w:rsidP="00413A92">
      <w:pPr>
        <w:shd w:val="clear" w:color="auto" w:fill="B3B3B3"/>
        <w:rPr>
          <w:rFonts w:asciiTheme="majorHAnsi" w:hAnsiTheme="majorHAnsi"/>
          <w:b/>
          <w:sz w:val="24"/>
        </w:rPr>
      </w:pPr>
      <w:r w:rsidRPr="009E63A5">
        <w:rPr>
          <w:rFonts w:asciiTheme="majorHAnsi" w:hAnsiTheme="majorHAnsi"/>
          <w:b/>
          <w:sz w:val="24"/>
        </w:rPr>
        <w:t>Primary Measures</w:t>
      </w:r>
    </w:p>
    <w:p w14:paraId="01274AA9" w14:textId="77777777" w:rsidR="00413A92" w:rsidRDefault="00413A92" w:rsidP="00413A92">
      <w:pPr>
        <w:rPr>
          <w:rFonts w:asciiTheme="majorHAnsi" w:hAnsiTheme="majorHAnsi"/>
          <w:b/>
          <w:sz w:val="22"/>
          <w:szCs w:val="22"/>
        </w:rPr>
      </w:pPr>
    </w:p>
    <w:p w14:paraId="5B67F049" w14:textId="77777777" w:rsidR="00413A92" w:rsidRPr="0004041C" w:rsidRDefault="00413A92" w:rsidP="00413A92">
      <w:pPr>
        <w:rPr>
          <w:rFonts w:asciiTheme="majorHAnsi" w:hAnsiTheme="majorHAnsi"/>
          <w:b/>
          <w:sz w:val="22"/>
          <w:szCs w:val="22"/>
        </w:rPr>
      </w:pPr>
      <w:r>
        <w:rPr>
          <w:rFonts w:asciiTheme="majorHAnsi" w:hAnsiTheme="majorHAnsi"/>
          <w:b/>
          <w:sz w:val="22"/>
          <w:szCs w:val="22"/>
        </w:rPr>
        <w:t xml:space="preserve">Measure 1: </w:t>
      </w:r>
      <w:r w:rsidRPr="00145ABA">
        <w:rPr>
          <w:rFonts w:asciiTheme="majorHAnsi" w:hAnsiTheme="majorHAnsi"/>
          <w:b/>
          <w:sz w:val="22"/>
          <w:szCs w:val="22"/>
        </w:rPr>
        <w:t>Professional learning and development</w:t>
      </w:r>
    </w:p>
    <w:p w14:paraId="3D7A17E2" w14:textId="77777777" w:rsidR="00413A92" w:rsidRPr="00CE62C9" w:rsidRDefault="00413A92" w:rsidP="00413A92">
      <w:pPr>
        <w:ind w:left="360"/>
        <w:rPr>
          <w:rFonts w:cs="Times New Roman"/>
          <w:szCs w:val="20"/>
        </w:rPr>
      </w:pPr>
      <w:r w:rsidRPr="00CE62C9">
        <w:rPr>
          <w:rFonts w:cs="Times New Roman"/>
          <w:szCs w:val="20"/>
        </w:rPr>
        <w:t xml:space="preserve">Elon faculty are committed to a scholarly, critically self-reflective approach to teaching and learning. Professional learning includes both ongoing disciplinary learning and ongoing study of teaching and learning. Professional development in teaching, specifically, is reflected in </w:t>
      </w:r>
      <w:r>
        <w:rPr>
          <w:rFonts w:cs="Times New Roman"/>
          <w:szCs w:val="20"/>
        </w:rPr>
        <w:t xml:space="preserve">critically self-reflective, </w:t>
      </w:r>
      <w:r w:rsidRPr="00CE62C9">
        <w:rPr>
          <w:rFonts w:cs="Times New Roman"/>
          <w:szCs w:val="20"/>
        </w:rPr>
        <w:t>goal-oriented, evidence-</w:t>
      </w:r>
      <w:r>
        <w:rPr>
          <w:rFonts w:cs="Times New Roman"/>
          <w:szCs w:val="20"/>
        </w:rPr>
        <w:t>based</w:t>
      </w:r>
      <w:r w:rsidRPr="00CE62C9">
        <w:rPr>
          <w:rFonts w:cs="Times New Roman"/>
          <w:szCs w:val="20"/>
        </w:rPr>
        <w:t xml:space="preserve"> growth over time in quality and effectiveness.</w:t>
      </w:r>
    </w:p>
    <w:p w14:paraId="0FF3059B" w14:textId="77777777" w:rsidR="00413A92" w:rsidRDefault="00413A92" w:rsidP="00413A92">
      <w:pPr>
        <w:rPr>
          <w:rFonts w:asciiTheme="majorHAnsi" w:hAnsiTheme="majorHAnsi"/>
          <w:b/>
          <w:sz w:val="22"/>
          <w:szCs w:val="22"/>
        </w:rPr>
      </w:pPr>
    </w:p>
    <w:p w14:paraId="792AD03D" w14:textId="77777777" w:rsidR="00413A92" w:rsidRPr="0004041C" w:rsidRDefault="00413A92" w:rsidP="00413A92">
      <w:pPr>
        <w:rPr>
          <w:rFonts w:asciiTheme="majorHAnsi" w:hAnsiTheme="majorHAnsi"/>
          <w:b/>
          <w:sz w:val="22"/>
          <w:szCs w:val="22"/>
        </w:rPr>
      </w:pPr>
      <w:r w:rsidRPr="00402291">
        <w:rPr>
          <w:rFonts w:asciiTheme="majorHAnsi" w:hAnsiTheme="majorHAnsi"/>
          <w:b/>
          <w:sz w:val="22"/>
          <w:szCs w:val="22"/>
        </w:rPr>
        <w:t>Measure 2:  Learner-centered design and planning</w:t>
      </w:r>
    </w:p>
    <w:p w14:paraId="7A83B88E" w14:textId="77777777" w:rsidR="00413A92" w:rsidRPr="00CE62C9" w:rsidRDefault="00413A92" w:rsidP="00413A92">
      <w:pPr>
        <w:ind w:left="360"/>
        <w:rPr>
          <w:rFonts w:cs="Times New Roman"/>
          <w:szCs w:val="20"/>
        </w:rPr>
      </w:pPr>
      <w:r w:rsidRPr="00CE62C9">
        <w:rPr>
          <w:rFonts w:cs="Times New Roman"/>
          <w:szCs w:val="20"/>
        </w:rPr>
        <w:t>Elon faculty are committed to constructing and sustaining an environment designed for learners and learning.</w:t>
      </w:r>
    </w:p>
    <w:p w14:paraId="2A4C1E4B" w14:textId="77777777" w:rsidR="00413A92" w:rsidRDefault="00413A92" w:rsidP="00413A92">
      <w:pPr>
        <w:rPr>
          <w:b/>
        </w:rPr>
      </w:pPr>
    </w:p>
    <w:p w14:paraId="4532DCB7" w14:textId="77777777" w:rsidR="00413A92" w:rsidRPr="0004041C" w:rsidRDefault="00413A92" w:rsidP="00413A92">
      <w:pPr>
        <w:rPr>
          <w:rFonts w:asciiTheme="majorHAnsi" w:hAnsiTheme="majorHAnsi"/>
          <w:b/>
          <w:sz w:val="22"/>
          <w:szCs w:val="22"/>
        </w:rPr>
      </w:pPr>
      <w:r w:rsidRPr="00402291">
        <w:rPr>
          <w:rFonts w:asciiTheme="majorHAnsi" w:hAnsiTheme="majorHAnsi"/>
          <w:b/>
          <w:sz w:val="22"/>
          <w:szCs w:val="22"/>
        </w:rPr>
        <w:t>Measure 3:  Instructional effectiveness</w:t>
      </w:r>
    </w:p>
    <w:p w14:paraId="4B4A3E88" w14:textId="77777777" w:rsidR="00413A92" w:rsidRPr="00CE62C9" w:rsidRDefault="00413A92" w:rsidP="00413A92">
      <w:pPr>
        <w:ind w:left="360"/>
        <w:rPr>
          <w:rFonts w:cs="Times New Roman"/>
          <w:szCs w:val="20"/>
        </w:rPr>
      </w:pPr>
      <w:r w:rsidRPr="00CE62C9">
        <w:rPr>
          <w:rFonts w:cs="Times New Roman"/>
          <w:szCs w:val="20"/>
        </w:rPr>
        <w:t>Elon faculty are committed to excellence in the execution and delivery of learner-centered plans within concrete contexts of learning.</w:t>
      </w:r>
    </w:p>
    <w:p w14:paraId="7A4DD061" w14:textId="77777777" w:rsidR="00413A92" w:rsidRDefault="00413A92" w:rsidP="00413A92">
      <w:pPr>
        <w:rPr>
          <w:b/>
        </w:rPr>
      </w:pPr>
    </w:p>
    <w:p w14:paraId="16400570" w14:textId="77777777" w:rsidR="00413A92" w:rsidRPr="0004041C" w:rsidRDefault="00413A92" w:rsidP="00413A92">
      <w:pPr>
        <w:rPr>
          <w:rFonts w:asciiTheme="majorHAnsi" w:hAnsiTheme="majorHAnsi"/>
          <w:b/>
          <w:sz w:val="22"/>
          <w:szCs w:val="22"/>
        </w:rPr>
      </w:pPr>
      <w:r w:rsidRPr="00402291">
        <w:rPr>
          <w:rFonts w:asciiTheme="majorHAnsi" w:hAnsiTheme="majorHAnsi"/>
          <w:b/>
          <w:sz w:val="22"/>
          <w:szCs w:val="22"/>
        </w:rPr>
        <w:t>Measure 4:  Supportive and equitable learning environment</w:t>
      </w:r>
    </w:p>
    <w:p w14:paraId="311D5841" w14:textId="77777777" w:rsidR="00413A92" w:rsidRPr="00CE62C9" w:rsidRDefault="00413A92" w:rsidP="00413A92">
      <w:pPr>
        <w:ind w:left="360"/>
        <w:rPr>
          <w:rFonts w:cs="Times New Roman"/>
          <w:szCs w:val="20"/>
        </w:rPr>
      </w:pPr>
      <w:r w:rsidRPr="00CE62C9">
        <w:rPr>
          <w:rFonts w:cs="Times New Roman"/>
          <w:szCs w:val="20"/>
        </w:rPr>
        <w:t xml:space="preserve">Elon faculty are committed to developing environments that support the humanity and wellbeing of </w:t>
      </w:r>
      <w:proofErr w:type="gramStart"/>
      <w:r w:rsidRPr="00CE62C9">
        <w:rPr>
          <w:rFonts w:cs="Times New Roman"/>
          <w:szCs w:val="20"/>
        </w:rPr>
        <w:t>each and every</w:t>
      </w:r>
      <w:proofErr w:type="gramEnd"/>
      <w:r w:rsidRPr="00CE62C9">
        <w:rPr>
          <w:rFonts w:cs="Times New Roman"/>
          <w:szCs w:val="20"/>
        </w:rPr>
        <w:t xml:space="preserve"> learner.</w:t>
      </w:r>
    </w:p>
    <w:p w14:paraId="4DCF82CA" w14:textId="77777777" w:rsidR="00413A92" w:rsidRDefault="00413A92" w:rsidP="00413A92">
      <w:pPr>
        <w:rPr>
          <w:b/>
        </w:rPr>
      </w:pPr>
    </w:p>
    <w:p w14:paraId="2CD95CAC" w14:textId="77777777" w:rsidR="00413A92" w:rsidRDefault="00413A92" w:rsidP="00413A92"/>
    <w:p w14:paraId="29C4EB6E" w14:textId="77777777" w:rsidR="00413A92" w:rsidRPr="009E63A5" w:rsidRDefault="00413A92" w:rsidP="00413A92">
      <w:pPr>
        <w:shd w:val="clear" w:color="auto" w:fill="B3B3B3"/>
        <w:rPr>
          <w:rFonts w:asciiTheme="majorHAnsi" w:hAnsiTheme="majorHAnsi"/>
          <w:b/>
          <w:sz w:val="24"/>
        </w:rPr>
      </w:pPr>
      <w:r>
        <w:rPr>
          <w:rFonts w:asciiTheme="majorHAnsi" w:hAnsiTheme="majorHAnsi"/>
          <w:b/>
          <w:sz w:val="24"/>
        </w:rPr>
        <w:t>Second</w:t>
      </w:r>
      <w:r w:rsidRPr="009E63A5">
        <w:rPr>
          <w:rFonts w:asciiTheme="majorHAnsi" w:hAnsiTheme="majorHAnsi"/>
          <w:b/>
          <w:sz w:val="24"/>
        </w:rPr>
        <w:t>ary Measures</w:t>
      </w:r>
    </w:p>
    <w:p w14:paraId="0288B69A" w14:textId="77777777" w:rsidR="00413A92" w:rsidRDefault="00413A92" w:rsidP="00413A92">
      <w:pPr>
        <w:rPr>
          <w:b/>
        </w:rPr>
      </w:pPr>
    </w:p>
    <w:p w14:paraId="51D1EB0A" w14:textId="77777777" w:rsidR="00413A92" w:rsidRPr="0004041C" w:rsidRDefault="00413A92" w:rsidP="00413A92">
      <w:pPr>
        <w:rPr>
          <w:rFonts w:asciiTheme="majorHAnsi" w:hAnsiTheme="majorHAnsi"/>
          <w:b/>
          <w:sz w:val="22"/>
          <w:szCs w:val="22"/>
        </w:rPr>
      </w:pPr>
      <w:r w:rsidRPr="00402291">
        <w:rPr>
          <w:rFonts w:asciiTheme="majorHAnsi" w:hAnsiTheme="majorHAnsi"/>
          <w:b/>
          <w:sz w:val="22"/>
          <w:szCs w:val="22"/>
        </w:rPr>
        <w:t xml:space="preserve">Measure 5:  Commitment to teaching as </w:t>
      </w:r>
      <w:r>
        <w:rPr>
          <w:rFonts w:asciiTheme="majorHAnsi" w:hAnsiTheme="majorHAnsi"/>
          <w:b/>
          <w:sz w:val="22"/>
          <w:szCs w:val="22"/>
        </w:rPr>
        <w:t>the shared</w:t>
      </w:r>
      <w:r w:rsidRPr="00402291">
        <w:rPr>
          <w:rFonts w:asciiTheme="majorHAnsi" w:hAnsiTheme="majorHAnsi"/>
          <w:b/>
          <w:sz w:val="22"/>
          <w:szCs w:val="22"/>
        </w:rPr>
        <w:t xml:space="preserve"> work</w:t>
      </w:r>
      <w:r>
        <w:rPr>
          <w:rFonts w:asciiTheme="majorHAnsi" w:hAnsiTheme="majorHAnsi"/>
          <w:b/>
          <w:sz w:val="22"/>
          <w:szCs w:val="22"/>
        </w:rPr>
        <w:t xml:space="preserve"> of a university community</w:t>
      </w:r>
    </w:p>
    <w:p w14:paraId="7D32C835" w14:textId="77777777" w:rsidR="00413A92" w:rsidRPr="002C78A3" w:rsidRDefault="00413A92" w:rsidP="00413A92">
      <w:pPr>
        <w:ind w:left="360"/>
        <w:contextualSpacing/>
        <w:rPr>
          <w:rFonts w:cs="Times New Roman"/>
          <w:szCs w:val="20"/>
        </w:rPr>
      </w:pPr>
      <w:r w:rsidRPr="0006385F">
        <w:rPr>
          <w:rFonts w:cs="Times New Roman"/>
          <w:szCs w:val="20"/>
        </w:rPr>
        <w:t>Elon faculty are committed to an understanding of high-quality teaching as an outcome of the shared work of a university community, rather than only one’s isolated practice. High-quality teaching and learning, therefore, requires active participation in advancing and sustaining a strong university-wide learning environment and a broad community of learners.</w:t>
      </w:r>
    </w:p>
    <w:p w14:paraId="2037877A" w14:textId="77777777" w:rsidR="00413A92" w:rsidRDefault="00413A92" w:rsidP="00413A92">
      <w:pPr>
        <w:rPr>
          <w:b/>
        </w:rPr>
      </w:pPr>
    </w:p>
    <w:p w14:paraId="0D550E4B" w14:textId="77777777" w:rsidR="00413A92" w:rsidRPr="0004041C" w:rsidRDefault="00413A92" w:rsidP="00413A92">
      <w:pPr>
        <w:rPr>
          <w:rFonts w:asciiTheme="majorHAnsi" w:hAnsiTheme="majorHAnsi"/>
          <w:b/>
          <w:sz w:val="22"/>
          <w:szCs w:val="22"/>
        </w:rPr>
      </w:pPr>
      <w:r w:rsidRPr="00402291">
        <w:rPr>
          <w:rFonts w:asciiTheme="majorHAnsi" w:hAnsiTheme="majorHAnsi"/>
          <w:b/>
          <w:sz w:val="22"/>
          <w:szCs w:val="22"/>
        </w:rPr>
        <w:t>Measure 6:  Commitment to enhancing a strong intellectual environment</w:t>
      </w:r>
    </w:p>
    <w:p w14:paraId="274525DB" w14:textId="7F8BCB87" w:rsidR="00413A92" w:rsidRDefault="00413A92" w:rsidP="00413A92">
      <w:pPr>
        <w:ind w:left="360"/>
        <w:contextualSpacing/>
        <w:rPr>
          <w:rFonts w:cs="Times New Roman"/>
          <w:szCs w:val="20"/>
        </w:rPr>
      </w:pPr>
      <w:r w:rsidRPr="0006385F">
        <w:rPr>
          <w:rFonts w:cs="Times New Roman"/>
          <w:szCs w:val="20"/>
        </w:rPr>
        <w:t>Elon faculty are committed to participating in and advancing an environment driven by curiosity, guided by careful, thoughtful, rigorous inquiry, and dedicated to learning.</w:t>
      </w:r>
    </w:p>
    <w:p w14:paraId="3F7C839F" w14:textId="77777777" w:rsidR="00413A92" w:rsidRPr="00EA36AA" w:rsidRDefault="00413A92" w:rsidP="00413A92">
      <w:pPr>
        <w:jc w:val="center"/>
        <w:rPr>
          <w:rFonts w:asciiTheme="majorHAnsi" w:hAnsiTheme="majorHAnsi"/>
          <w:b/>
          <w:sz w:val="28"/>
          <w:szCs w:val="28"/>
        </w:rPr>
      </w:pPr>
      <w:r w:rsidRPr="00EA36AA">
        <w:rPr>
          <w:rFonts w:asciiTheme="majorHAnsi" w:hAnsiTheme="majorHAnsi"/>
          <w:b/>
          <w:sz w:val="28"/>
          <w:szCs w:val="28"/>
        </w:rPr>
        <w:lastRenderedPageBreak/>
        <w:t>High-Quality Teaching and Learning</w:t>
      </w:r>
      <w:r>
        <w:rPr>
          <w:rFonts w:asciiTheme="majorHAnsi" w:hAnsiTheme="majorHAnsi"/>
          <w:b/>
          <w:sz w:val="28"/>
          <w:szCs w:val="28"/>
        </w:rPr>
        <w:t xml:space="preserve"> Evidence</w:t>
      </w:r>
    </w:p>
    <w:p w14:paraId="26D23997" w14:textId="77777777" w:rsidR="00413A92" w:rsidRDefault="00413A92" w:rsidP="00413A92">
      <w:pPr>
        <w:jc w:val="center"/>
      </w:pPr>
      <w:r w:rsidRPr="00EA36AA">
        <w:rPr>
          <w:rFonts w:asciiTheme="majorHAnsi" w:hAnsiTheme="majorHAnsi"/>
          <w:b/>
          <w:sz w:val="28"/>
          <w:szCs w:val="28"/>
        </w:rPr>
        <w:t>at Elon University</w:t>
      </w:r>
    </w:p>
    <w:p w14:paraId="69F80CA0" w14:textId="77777777" w:rsidR="00413A92" w:rsidRDefault="00413A92" w:rsidP="00413A92"/>
    <w:p w14:paraId="6C094DDC" w14:textId="77777777" w:rsidR="00413A92" w:rsidRDefault="00413A92" w:rsidP="00413A92"/>
    <w:p w14:paraId="3BFCD4CD" w14:textId="77777777" w:rsidR="00413A92" w:rsidRDefault="00413A92" w:rsidP="00413A92">
      <w:r>
        <w:t xml:space="preserve">Elon University is committed to providing students with the preeminent engaged learning environment, animated most significantly by a faculty guided by its self-authored Teacher-Scholar model. Consequently, the University is deeply committed to supporting the ongoing development of and pursuit of excellence among its teaching faculty. </w:t>
      </w:r>
    </w:p>
    <w:p w14:paraId="6D7C9B41" w14:textId="77777777" w:rsidR="00413A92" w:rsidRDefault="00413A92" w:rsidP="00413A92"/>
    <w:p w14:paraId="605D0432" w14:textId="77777777" w:rsidR="00413A92" w:rsidRDefault="00413A92" w:rsidP="00413A92">
      <w:r>
        <w:t xml:space="preserve">The following identifies six measures of high-quality teaching at Elon, with the first four reflecting primary measures that have the most direct impact on quality and the last two measures reflecting secondary measures that have significant impact on the broader teaching and learning context. </w:t>
      </w:r>
      <w:proofErr w:type="gramStart"/>
      <w:r>
        <w:t>As a whole, these</w:t>
      </w:r>
      <w:proofErr w:type="gramEnd"/>
      <w:r>
        <w:t xml:space="preserve"> measures aim to (a) motivate and guide faculty members’ individual goal-directed development; (b) encourage critical reflection about one’s own teaching against defined measures; (c) identify measures within which one might gather evidence about effectiveness and growth over time; and (d) sustain individual as well as cross-faculty commitment to excellence in teaching.</w:t>
      </w:r>
    </w:p>
    <w:p w14:paraId="6B76EE78" w14:textId="77777777" w:rsidR="00413A92" w:rsidRDefault="00413A92" w:rsidP="00413A92"/>
    <w:p w14:paraId="4CA7588B" w14:textId="77777777" w:rsidR="00413A92" w:rsidRDefault="00413A92" w:rsidP="00413A92">
      <w:r>
        <w:t>Each faculty member is expected to pursue high-quality teaching and learning across all measures, striving for excellence and even leading-edge quality within some measures over time.</w:t>
      </w:r>
    </w:p>
    <w:p w14:paraId="4AFCBC83" w14:textId="77777777" w:rsidR="00413A92" w:rsidRDefault="00413A92" w:rsidP="00413A92"/>
    <w:p w14:paraId="5CD8DCA2" w14:textId="77777777" w:rsidR="00413A92" w:rsidRDefault="00413A92" w:rsidP="00413A92"/>
    <w:tbl>
      <w:tblPr>
        <w:tblStyle w:val="TableGrid"/>
        <w:tblW w:w="5001" w:type="pct"/>
        <w:tblLook w:val="04A0" w:firstRow="1" w:lastRow="0" w:firstColumn="1" w:lastColumn="0" w:noHBand="0" w:noVBand="1"/>
      </w:tblPr>
      <w:tblGrid>
        <w:gridCol w:w="2694"/>
        <w:gridCol w:w="1252"/>
        <w:gridCol w:w="607"/>
        <w:gridCol w:w="1014"/>
        <w:gridCol w:w="92"/>
        <w:gridCol w:w="804"/>
        <w:gridCol w:w="348"/>
        <w:gridCol w:w="116"/>
        <w:gridCol w:w="1705"/>
      </w:tblGrid>
      <w:tr w:rsidR="00413A92" w:rsidRPr="00951796" w14:paraId="6E1A76ED" w14:textId="77777777" w:rsidTr="000B7450">
        <w:tc>
          <w:tcPr>
            <w:tcW w:w="5000" w:type="pct"/>
            <w:gridSpan w:val="9"/>
            <w:shd w:val="clear" w:color="auto" w:fill="000000"/>
          </w:tcPr>
          <w:p w14:paraId="0695140A" w14:textId="77777777" w:rsidR="00413A92" w:rsidRPr="00951796" w:rsidRDefault="00413A92" w:rsidP="000B7450">
            <w:pPr>
              <w:rPr>
                <w:color w:val="F2F2F2" w:themeColor="background1" w:themeShade="F2"/>
              </w:rPr>
            </w:pPr>
          </w:p>
          <w:p w14:paraId="202E674D" w14:textId="77777777" w:rsidR="00413A92" w:rsidRPr="00951796" w:rsidRDefault="00413A92" w:rsidP="000B7450">
            <w:pPr>
              <w:jc w:val="center"/>
              <w:rPr>
                <w:rFonts w:asciiTheme="majorHAnsi" w:hAnsiTheme="majorHAnsi"/>
                <w:b/>
                <w:color w:val="FFFFFF" w:themeColor="background1"/>
                <w:sz w:val="24"/>
              </w:rPr>
            </w:pPr>
            <w:r w:rsidRPr="00951796">
              <w:rPr>
                <w:rFonts w:asciiTheme="majorHAnsi" w:hAnsiTheme="majorHAnsi"/>
                <w:b/>
                <w:color w:val="FFFFFF" w:themeColor="background1"/>
                <w:sz w:val="24"/>
              </w:rPr>
              <w:t>Primary Measures</w:t>
            </w:r>
          </w:p>
          <w:p w14:paraId="2F3DBA22" w14:textId="77777777" w:rsidR="00413A92" w:rsidRPr="00951796" w:rsidRDefault="00413A92" w:rsidP="000B7450">
            <w:pPr>
              <w:rPr>
                <w:color w:val="F2F2F2" w:themeColor="background1" w:themeShade="F2"/>
              </w:rPr>
            </w:pPr>
          </w:p>
        </w:tc>
      </w:tr>
      <w:tr w:rsidR="00413A92" w14:paraId="1E8EBD10" w14:textId="77777777" w:rsidTr="000B7450">
        <w:trPr>
          <w:trHeight w:val="1826"/>
        </w:trPr>
        <w:tc>
          <w:tcPr>
            <w:tcW w:w="5000" w:type="pct"/>
            <w:gridSpan w:val="9"/>
          </w:tcPr>
          <w:p w14:paraId="0851545E" w14:textId="77777777" w:rsidR="00413A92" w:rsidRDefault="00413A92" w:rsidP="000B7450"/>
          <w:p w14:paraId="331E4DC6" w14:textId="77777777" w:rsidR="00413A92" w:rsidRPr="00145ABA" w:rsidRDefault="00413A92" w:rsidP="000B7450">
            <w:pPr>
              <w:rPr>
                <w:rFonts w:asciiTheme="majorHAnsi" w:hAnsiTheme="majorHAnsi"/>
                <w:b/>
                <w:sz w:val="22"/>
                <w:szCs w:val="22"/>
              </w:rPr>
            </w:pPr>
            <w:r>
              <w:rPr>
                <w:rFonts w:asciiTheme="majorHAnsi" w:hAnsiTheme="majorHAnsi"/>
                <w:b/>
                <w:sz w:val="22"/>
                <w:szCs w:val="22"/>
              </w:rPr>
              <w:t xml:space="preserve">Measure 1: </w:t>
            </w:r>
            <w:r w:rsidRPr="00145ABA">
              <w:rPr>
                <w:rFonts w:asciiTheme="majorHAnsi" w:hAnsiTheme="majorHAnsi"/>
                <w:b/>
                <w:sz w:val="22"/>
                <w:szCs w:val="22"/>
              </w:rPr>
              <w:t>Professional learning and development</w:t>
            </w:r>
          </w:p>
          <w:p w14:paraId="2C9A848A" w14:textId="77777777" w:rsidR="00413A92" w:rsidRDefault="00413A92" w:rsidP="000B7450">
            <w:pPr>
              <w:rPr>
                <w:b/>
              </w:rPr>
            </w:pPr>
          </w:p>
          <w:p w14:paraId="3EDB7348" w14:textId="77777777" w:rsidR="00413A92" w:rsidRPr="00CE62C9" w:rsidRDefault="00413A92" w:rsidP="000B7450">
            <w:pPr>
              <w:ind w:left="360"/>
              <w:rPr>
                <w:rFonts w:cs="Times New Roman"/>
                <w:szCs w:val="20"/>
              </w:rPr>
            </w:pPr>
            <w:r w:rsidRPr="00CE62C9">
              <w:rPr>
                <w:rFonts w:cs="Times New Roman"/>
                <w:szCs w:val="20"/>
              </w:rPr>
              <w:t xml:space="preserve">Elon faculty are committed to a scholarly, critically self-reflective approach to teaching and learning. Professional learning includes both ongoing disciplinary learning and ongoing study of teaching and learning. Professional development in teaching, specifically, is reflected in </w:t>
            </w:r>
            <w:r>
              <w:rPr>
                <w:rFonts w:cs="Times New Roman"/>
                <w:szCs w:val="20"/>
              </w:rPr>
              <w:t xml:space="preserve">critically self-reflective, </w:t>
            </w:r>
            <w:r w:rsidRPr="00CE62C9">
              <w:rPr>
                <w:rFonts w:cs="Times New Roman"/>
                <w:szCs w:val="20"/>
              </w:rPr>
              <w:t>goal-oriented, evidence-</w:t>
            </w:r>
            <w:r>
              <w:rPr>
                <w:rFonts w:cs="Times New Roman"/>
                <w:szCs w:val="20"/>
              </w:rPr>
              <w:t>based</w:t>
            </w:r>
            <w:r w:rsidRPr="00CE62C9">
              <w:rPr>
                <w:rFonts w:cs="Times New Roman"/>
                <w:szCs w:val="20"/>
              </w:rPr>
              <w:t xml:space="preserve"> growth over time in quality and effectiveness.</w:t>
            </w:r>
          </w:p>
          <w:p w14:paraId="03E26022" w14:textId="77777777" w:rsidR="00413A92" w:rsidRPr="00614F20" w:rsidRDefault="00413A92" w:rsidP="000B7450">
            <w:pPr>
              <w:ind w:left="720"/>
            </w:pPr>
          </w:p>
        </w:tc>
      </w:tr>
      <w:tr w:rsidR="00413A92" w14:paraId="32F261A5" w14:textId="77777777" w:rsidTr="000B7450">
        <w:tc>
          <w:tcPr>
            <w:tcW w:w="1647" w:type="pct"/>
            <w:vMerge w:val="restart"/>
          </w:tcPr>
          <w:p w14:paraId="64F7D7F1" w14:textId="77777777" w:rsidR="00413A92" w:rsidRPr="00D151BE" w:rsidRDefault="00413A92" w:rsidP="000B7450">
            <w:pPr>
              <w:rPr>
                <w:rFonts w:asciiTheme="majorHAnsi" w:hAnsiTheme="majorHAnsi"/>
                <w:b/>
              </w:rPr>
            </w:pPr>
            <w:r w:rsidRPr="00D151BE">
              <w:rPr>
                <w:rFonts w:asciiTheme="majorHAnsi" w:hAnsiTheme="majorHAnsi"/>
                <w:b/>
              </w:rPr>
              <w:t>Possible Indicators</w:t>
            </w:r>
          </w:p>
        </w:tc>
        <w:tc>
          <w:tcPr>
            <w:tcW w:w="3353" w:type="pct"/>
            <w:gridSpan w:val="8"/>
            <w:tcBorders>
              <w:bottom w:val="nil"/>
            </w:tcBorders>
          </w:tcPr>
          <w:p w14:paraId="13241D2F" w14:textId="77777777" w:rsidR="00413A92" w:rsidRDefault="00413A92" w:rsidP="000B7450">
            <w:pPr>
              <w:jc w:val="center"/>
              <w:rPr>
                <w:rFonts w:asciiTheme="majorHAnsi" w:hAnsiTheme="majorHAnsi"/>
                <w:b/>
              </w:rPr>
            </w:pPr>
            <w:r w:rsidRPr="00D151BE">
              <w:rPr>
                <w:rFonts w:asciiTheme="majorHAnsi" w:hAnsiTheme="majorHAnsi"/>
                <w:b/>
              </w:rPr>
              <w:t>Sources of Evidence</w:t>
            </w:r>
          </w:p>
          <w:p w14:paraId="6B804560" w14:textId="77777777" w:rsidR="00413A92" w:rsidRPr="00D151BE" w:rsidRDefault="00413A92" w:rsidP="000B7450">
            <w:pPr>
              <w:jc w:val="center"/>
              <w:rPr>
                <w:rFonts w:asciiTheme="majorHAnsi" w:hAnsiTheme="majorHAnsi"/>
                <w:b/>
              </w:rPr>
            </w:pPr>
          </w:p>
        </w:tc>
      </w:tr>
      <w:tr w:rsidR="00413A92" w14:paraId="0304A7E9" w14:textId="77777777" w:rsidTr="000B7450">
        <w:tc>
          <w:tcPr>
            <w:tcW w:w="1647" w:type="pct"/>
            <w:vMerge/>
          </w:tcPr>
          <w:p w14:paraId="1798D4D4" w14:textId="77777777" w:rsidR="00413A92" w:rsidRPr="00D151BE" w:rsidRDefault="00413A92" w:rsidP="000B7450">
            <w:pPr>
              <w:rPr>
                <w:rFonts w:asciiTheme="majorHAnsi" w:hAnsiTheme="majorHAnsi"/>
                <w:b/>
              </w:rPr>
            </w:pPr>
          </w:p>
        </w:tc>
        <w:tc>
          <w:tcPr>
            <w:tcW w:w="1089" w:type="pct"/>
            <w:gridSpan w:val="2"/>
            <w:tcBorders>
              <w:top w:val="nil"/>
            </w:tcBorders>
          </w:tcPr>
          <w:p w14:paraId="5D299358" w14:textId="77777777" w:rsidR="00413A92" w:rsidRPr="00D151BE" w:rsidRDefault="00413A92" w:rsidP="000B7450">
            <w:pPr>
              <w:jc w:val="center"/>
              <w:rPr>
                <w:rFonts w:asciiTheme="majorHAnsi" w:hAnsiTheme="majorHAnsi"/>
                <w:b/>
              </w:rPr>
            </w:pPr>
            <w:r>
              <w:rPr>
                <w:rFonts w:asciiTheme="majorHAnsi" w:hAnsiTheme="majorHAnsi"/>
                <w:b/>
              </w:rPr>
              <w:t>Self</w:t>
            </w:r>
          </w:p>
        </w:tc>
        <w:tc>
          <w:tcPr>
            <w:tcW w:w="1114" w:type="pct"/>
            <w:gridSpan w:val="3"/>
            <w:tcBorders>
              <w:top w:val="nil"/>
            </w:tcBorders>
          </w:tcPr>
          <w:p w14:paraId="1F067801" w14:textId="77777777" w:rsidR="00413A92" w:rsidRPr="00D151BE" w:rsidRDefault="00413A92" w:rsidP="000B7450">
            <w:pPr>
              <w:jc w:val="center"/>
              <w:rPr>
                <w:rFonts w:asciiTheme="majorHAnsi" w:hAnsiTheme="majorHAnsi"/>
                <w:b/>
              </w:rPr>
            </w:pPr>
            <w:r>
              <w:rPr>
                <w:rFonts w:asciiTheme="majorHAnsi" w:hAnsiTheme="majorHAnsi"/>
                <w:b/>
              </w:rPr>
              <w:t>Students</w:t>
            </w:r>
          </w:p>
        </w:tc>
        <w:tc>
          <w:tcPr>
            <w:tcW w:w="1150" w:type="pct"/>
            <w:gridSpan w:val="3"/>
            <w:tcBorders>
              <w:top w:val="nil"/>
            </w:tcBorders>
          </w:tcPr>
          <w:p w14:paraId="56367A74" w14:textId="77777777" w:rsidR="00413A92" w:rsidRPr="00D151BE" w:rsidRDefault="00413A92" w:rsidP="000B7450">
            <w:pPr>
              <w:jc w:val="center"/>
              <w:rPr>
                <w:rFonts w:asciiTheme="majorHAnsi" w:hAnsiTheme="majorHAnsi"/>
                <w:b/>
              </w:rPr>
            </w:pPr>
            <w:r>
              <w:rPr>
                <w:rFonts w:asciiTheme="majorHAnsi" w:hAnsiTheme="majorHAnsi"/>
                <w:b/>
              </w:rPr>
              <w:t>Peers</w:t>
            </w:r>
          </w:p>
        </w:tc>
      </w:tr>
      <w:tr w:rsidR="00413A92" w14:paraId="6BF95486" w14:textId="77777777" w:rsidTr="000B7450">
        <w:tc>
          <w:tcPr>
            <w:tcW w:w="1647" w:type="pct"/>
            <w:tcBorders>
              <w:bottom w:val="single" w:sz="4" w:space="0" w:color="auto"/>
            </w:tcBorders>
          </w:tcPr>
          <w:p w14:paraId="64AA3B1B" w14:textId="77777777" w:rsidR="00413A92" w:rsidRPr="00D151BE" w:rsidRDefault="00413A92" w:rsidP="00413A92">
            <w:pPr>
              <w:numPr>
                <w:ilvl w:val="0"/>
                <w:numId w:val="10"/>
              </w:numPr>
              <w:rPr>
                <w:rFonts w:cs="Times New Roman"/>
                <w:szCs w:val="20"/>
              </w:rPr>
            </w:pPr>
            <w:r w:rsidRPr="00D151BE">
              <w:rPr>
                <w:rFonts w:cs="Times New Roman"/>
                <w:szCs w:val="20"/>
              </w:rPr>
              <w:t>Integrating scholarship and teaching</w:t>
            </w:r>
          </w:p>
          <w:p w14:paraId="71AA741E" w14:textId="77777777" w:rsidR="00413A92" w:rsidRPr="00D151BE" w:rsidRDefault="00413A92" w:rsidP="00413A92">
            <w:pPr>
              <w:numPr>
                <w:ilvl w:val="0"/>
                <w:numId w:val="10"/>
              </w:numPr>
              <w:rPr>
                <w:rFonts w:cs="Times New Roman"/>
                <w:szCs w:val="20"/>
              </w:rPr>
            </w:pPr>
            <w:r w:rsidRPr="00D151BE">
              <w:rPr>
                <w:rFonts w:eastAsia="Times New Roman" w:cs="Times New Roman"/>
                <w:szCs w:val="20"/>
                <w:lang w:eastAsia="en-US"/>
              </w:rPr>
              <w:t>Conveying the foundation of established knowledge and theory</w:t>
            </w:r>
          </w:p>
          <w:p w14:paraId="333596AA" w14:textId="77777777" w:rsidR="00413A92" w:rsidRPr="00D151BE" w:rsidRDefault="00413A92" w:rsidP="00413A92">
            <w:pPr>
              <w:numPr>
                <w:ilvl w:val="0"/>
                <w:numId w:val="10"/>
              </w:numPr>
              <w:textAlignment w:val="baseline"/>
              <w:rPr>
                <w:rFonts w:eastAsia="Times New Roman" w:cs="Times New Roman"/>
                <w:szCs w:val="20"/>
                <w:lang w:eastAsia="en-US"/>
              </w:rPr>
            </w:pPr>
            <w:r w:rsidRPr="00D151BE">
              <w:rPr>
                <w:rFonts w:eastAsia="Times New Roman" w:cs="Times New Roman"/>
                <w:szCs w:val="20"/>
                <w:lang w:eastAsia="en-US"/>
              </w:rPr>
              <w:t>Integrating knowledge across disciplines</w:t>
            </w:r>
          </w:p>
          <w:p w14:paraId="29E1C3A9" w14:textId="77777777" w:rsidR="00413A92" w:rsidRPr="00D151BE" w:rsidRDefault="00413A92" w:rsidP="00413A92">
            <w:pPr>
              <w:numPr>
                <w:ilvl w:val="0"/>
                <w:numId w:val="10"/>
              </w:numPr>
              <w:textAlignment w:val="baseline"/>
              <w:rPr>
                <w:rFonts w:eastAsia="Times New Roman" w:cs="Times New Roman"/>
                <w:szCs w:val="20"/>
                <w:lang w:eastAsia="en-US"/>
              </w:rPr>
            </w:pPr>
            <w:r w:rsidRPr="00D151BE">
              <w:rPr>
                <w:rFonts w:eastAsia="Times New Roman" w:cs="Times New Roman"/>
                <w:szCs w:val="20"/>
                <w:lang w:eastAsia="en-US"/>
              </w:rPr>
              <w:t>Demonstrating a commitment to improvement of teaching</w:t>
            </w:r>
          </w:p>
          <w:p w14:paraId="551C044F" w14:textId="77777777" w:rsidR="00413A92" w:rsidRPr="00D151BE" w:rsidRDefault="00413A92" w:rsidP="00413A92">
            <w:pPr>
              <w:numPr>
                <w:ilvl w:val="0"/>
                <w:numId w:val="10"/>
              </w:numPr>
              <w:textAlignment w:val="baseline"/>
              <w:rPr>
                <w:rFonts w:eastAsia="Times New Roman" w:cs="Times New Roman"/>
                <w:szCs w:val="20"/>
                <w:lang w:eastAsia="en-US"/>
              </w:rPr>
            </w:pPr>
            <w:r w:rsidRPr="00D151BE">
              <w:rPr>
                <w:rFonts w:eastAsia="Times New Roman" w:cs="Times New Roman"/>
                <w:szCs w:val="20"/>
                <w:lang w:eastAsia="en-US"/>
              </w:rPr>
              <w:t>Using current and relevant materials that enhance our understanding of the world</w:t>
            </w:r>
          </w:p>
          <w:p w14:paraId="2EDE2357" w14:textId="77777777" w:rsidR="00413A92" w:rsidRPr="00D151BE" w:rsidRDefault="00413A92" w:rsidP="00413A92">
            <w:pPr>
              <w:numPr>
                <w:ilvl w:val="0"/>
                <w:numId w:val="10"/>
              </w:numPr>
            </w:pPr>
            <w:r w:rsidRPr="00D151BE">
              <w:rPr>
                <w:rFonts w:eastAsia="Times New Roman" w:cs="Times New Roman"/>
                <w:szCs w:val="20"/>
                <w:lang w:eastAsia="en-US"/>
              </w:rPr>
              <w:t>Demonstrating command of the subject matter</w:t>
            </w:r>
          </w:p>
          <w:p w14:paraId="1AFE95E0" w14:textId="77777777" w:rsidR="00413A92" w:rsidRDefault="00413A92" w:rsidP="000B7450"/>
        </w:tc>
        <w:tc>
          <w:tcPr>
            <w:tcW w:w="1089" w:type="pct"/>
            <w:gridSpan w:val="2"/>
            <w:tcBorders>
              <w:bottom w:val="single" w:sz="4" w:space="0" w:color="auto"/>
            </w:tcBorders>
          </w:tcPr>
          <w:p w14:paraId="33C880FA" w14:textId="77777777" w:rsidR="00413A92" w:rsidRDefault="00413A92" w:rsidP="00413A92">
            <w:pPr>
              <w:pStyle w:val="ListParagraph"/>
              <w:numPr>
                <w:ilvl w:val="0"/>
                <w:numId w:val="15"/>
              </w:numPr>
              <w:spacing w:after="0" w:line="240" w:lineRule="auto"/>
            </w:pPr>
            <w:r w:rsidRPr="00951796">
              <w:t>Unit I</w:t>
            </w:r>
          </w:p>
          <w:p w14:paraId="2E08BF0D" w14:textId="77777777" w:rsidR="00413A92" w:rsidRDefault="00413A92" w:rsidP="00413A92">
            <w:pPr>
              <w:pStyle w:val="ListParagraph"/>
              <w:numPr>
                <w:ilvl w:val="0"/>
                <w:numId w:val="15"/>
              </w:numPr>
              <w:spacing w:after="0" w:line="240" w:lineRule="auto"/>
            </w:pPr>
            <w:r>
              <w:t>Syllabus</w:t>
            </w:r>
          </w:p>
          <w:p w14:paraId="20963376" w14:textId="77777777" w:rsidR="00413A92" w:rsidRPr="00951796" w:rsidRDefault="00413A92" w:rsidP="00413A92">
            <w:pPr>
              <w:pStyle w:val="ListParagraph"/>
              <w:numPr>
                <w:ilvl w:val="0"/>
                <w:numId w:val="15"/>
              </w:numPr>
              <w:spacing w:after="0" w:line="240" w:lineRule="auto"/>
            </w:pPr>
            <w:r>
              <w:t>Assignments</w:t>
            </w:r>
          </w:p>
        </w:tc>
        <w:tc>
          <w:tcPr>
            <w:tcW w:w="1114" w:type="pct"/>
            <w:gridSpan w:val="3"/>
            <w:tcBorders>
              <w:bottom w:val="single" w:sz="4" w:space="0" w:color="auto"/>
            </w:tcBorders>
          </w:tcPr>
          <w:p w14:paraId="3D40F243" w14:textId="77777777" w:rsidR="00413A92" w:rsidRPr="00951796" w:rsidRDefault="00413A92" w:rsidP="00413A92">
            <w:pPr>
              <w:pStyle w:val="ListParagraph"/>
              <w:numPr>
                <w:ilvl w:val="0"/>
                <w:numId w:val="15"/>
              </w:numPr>
              <w:spacing w:after="0" w:line="240" w:lineRule="auto"/>
            </w:pPr>
            <w:proofErr w:type="spellStart"/>
            <w:r>
              <w:t>SPoTs</w:t>
            </w:r>
            <w:proofErr w:type="spellEnd"/>
          </w:p>
        </w:tc>
        <w:tc>
          <w:tcPr>
            <w:tcW w:w="1150" w:type="pct"/>
            <w:gridSpan w:val="3"/>
            <w:tcBorders>
              <w:bottom w:val="single" w:sz="4" w:space="0" w:color="auto"/>
            </w:tcBorders>
          </w:tcPr>
          <w:p w14:paraId="7F9AB73F" w14:textId="77777777" w:rsidR="00413A92" w:rsidRDefault="00413A92" w:rsidP="00413A92">
            <w:pPr>
              <w:pStyle w:val="ListParagraph"/>
              <w:numPr>
                <w:ilvl w:val="0"/>
                <w:numId w:val="15"/>
              </w:numPr>
              <w:spacing w:after="0" w:line="240" w:lineRule="auto"/>
            </w:pPr>
            <w:r>
              <w:t>Unit III</w:t>
            </w:r>
          </w:p>
          <w:p w14:paraId="6D74F3F4" w14:textId="77777777" w:rsidR="00413A92" w:rsidRDefault="00413A92" w:rsidP="00413A92">
            <w:pPr>
              <w:pStyle w:val="ListParagraph"/>
              <w:numPr>
                <w:ilvl w:val="0"/>
                <w:numId w:val="15"/>
              </w:numPr>
              <w:spacing w:after="0" w:line="240" w:lineRule="auto"/>
            </w:pPr>
            <w:r>
              <w:t>Observation</w:t>
            </w:r>
          </w:p>
          <w:p w14:paraId="3ABFD273" w14:textId="77777777" w:rsidR="00413A92" w:rsidRPr="00951796" w:rsidRDefault="00413A92" w:rsidP="00413A92">
            <w:pPr>
              <w:pStyle w:val="ListParagraph"/>
              <w:numPr>
                <w:ilvl w:val="0"/>
                <w:numId w:val="15"/>
              </w:numPr>
              <w:spacing w:after="0" w:line="240" w:lineRule="auto"/>
            </w:pPr>
            <w:r>
              <w:t>Letter</w:t>
            </w:r>
          </w:p>
        </w:tc>
      </w:tr>
      <w:tr w:rsidR="00413A92" w14:paraId="72A3548F" w14:textId="77777777" w:rsidTr="000B7450">
        <w:trPr>
          <w:trHeight w:val="1430"/>
        </w:trPr>
        <w:tc>
          <w:tcPr>
            <w:tcW w:w="5000" w:type="pct"/>
            <w:gridSpan w:val="9"/>
          </w:tcPr>
          <w:p w14:paraId="572C9536" w14:textId="77777777" w:rsidR="00413A92" w:rsidRDefault="00413A92" w:rsidP="000B7450">
            <w:pPr>
              <w:rPr>
                <w:b/>
                <w:color w:val="3366FF"/>
              </w:rPr>
            </w:pPr>
          </w:p>
          <w:p w14:paraId="64650E42" w14:textId="77777777" w:rsidR="00413A92" w:rsidRPr="00402291" w:rsidRDefault="00413A92" w:rsidP="000B7450">
            <w:pPr>
              <w:rPr>
                <w:rFonts w:asciiTheme="majorHAnsi" w:hAnsiTheme="majorHAnsi"/>
                <w:b/>
                <w:sz w:val="22"/>
                <w:szCs w:val="22"/>
              </w:rPr>
            </w:pPr>
            <w:r w:rsidRPr="00402291">
              <w:rPr>
                <w:rFonts w:asciiTheme="majorHAnsi" w:hAnsiTheme="majorHAnsi"/>
                <w:b/>
                <w:sz w:val="22"/>
                <w:szCs w:val="22"/>
              </w:rPr>
              <w:t>Measure 2:  Learner-centered design and planning</w:t>
            </w:r>
          </w:p>
          <w:p w14:paraId="13E0EB6C" w14:textId="77777777" w:rsidR="00413A92" w:rsidRDefault="00413A92" w:rsidP="000B7450">
            <w:pPr>
              <w:rPr>
                <w:b/>
              </w:rPr>
            </w:pPr>
          </w:p>
          <w:p w14:paraId="36B441DC" w14:textId="77777777" w:rsidR="00413A92" w:rsidRPr="00CE62C9" w:rsidRDefault="00413A92" w:rsidP="000B7450">
            <w:pPr>
              <w:ind w:left="360"/>
              <w:rPr>
                <w:rFonts w:cs="Times New Roman"/>
                <w:szCs w:val="20"/>
              </w:rPr>
            </w:pPr>
            <w:r w:rsidRPr="00CE62C9">
              <w:rPr>
                <w:rFonts w:cs="Times New Roman"/>
                <w:szCs w:val="20"/>
              </w:rPr>
              <w:t>Elon faculty are committed to constructing and sustaining an environment designed for learners and learning.</w:t>
            </w:r>
          </w:p>
          <w:p w14:paraId="3C4F7488" w14:textId="77777777" w:rsidR="00413A92" w:rsidRPr="0004041C" w:rsidRDefault="00413A92" w:rsidP="000B7450">
            <w:pPr>
              <w:ind w:left="720"/>
            </w:pPr>
            <w:r w:rsidRPr="0004041C">
              <w:t>.</w:t>
            </w:r>
          </w:p>
          <w:p w14:paraId="4F36568E" w14:textId="77777777" w:rsidR="00413A92" w:rsidRPr="006D54DC" w:rsidRDefault="00413A92" w:rsidP="000B7450"/>
        </w:tc>
      </w:tr>
      <w:tr w:rsidR="00413A92" w14:paraId="7C695EF1" w14:textId="77777777" w:rsidTr="000B7450">
        <w:tc>
          <w:tcPr>
            <w:tcW w:w="1647" w:type="pct"/>
            <w:tcBorders>
              <w:bottom w:val="nil"/>
            </w:tcBorders>
          </w:tcPr>
          <w:p w14:paraId="7EEFDD05" w14:textId="77777777" w:rsidR="00413A92" w:rsidRPr="00D151BE" w:rsidRDefault="00413A92" w:rsidP="000B7450">
            <w:pPr>
              <w:rPr>
                <w:rFonts w:asciiTheme="majorHAnsi" w:hAnsiTheme="majorHAnsi"/>
                <w:b/>
              </w:rPr>
            </w:pPr>
            <w:r w:rsidRPr="00D151BE">
              <w:rPr>
                <w:rFonts w:asciiTheme="majorHAnsi" w:hAnsiTheme="majorHAnsi"/>
                <w:b/>
              </w:rPr>
              <w:t>Possible Indicators</w:t>
            </w:r>
          </w:p>
        </w:tc>
        <w:tc>
          <w:tcPr>
            <w:tcW w:w="3353" w:type="pct"/>
            <w:gridSpan w:val="8"/>
            <w:tcBorders>
              <w:bottom w:val="nil"/>
            </w:tcBorders>
          </w:tcPr>
          <w:p w14:paraId="52FEF862" w14:textId="77777777" w:rsidR="00413A92" w:rsidRDefault="00413A92" w:rsidP="000B7450">
            <w:pPr>
              <w:jc w:val="center"/>
              <w:rPr>
                <w:rFonts w:asciiTheme="majorHAnsi" w:hAnsiTheme="majorHAnsi"/>
                <w:b/>
              </w:rPr>
            </w:pPr>
            <w:r w:rsidRPr="00D151BE">
              <w:rPr>
                <w:rFonts w:asciiTheme="majorHAnsi" w:hAnsiTheme="majorHAnsi"/>
                <w:b/>
              </w:rPr>
              <w:t>Sources of Evidence</w:t>
            </w:r>
          </w:p>
          <w:p w14:paraId="1A8BB347" w14:textId="77777777" w:rsidR="00413A92" w:rsidRPr="00D151BE" w:rsidRDefault="00413A92" w:rsidP="000B7450">
            <w:pPr>
              <w:jc w:val="center"/>
              <w:rPr>
                <w:rFonts w:asciiTheme="majorHAnsi" w:hAnsiTheme="majorHAnsi"/>
                <w:b/>
              </w:rPr>
            </w:pPr>
          </w:p>
        </w:tc>
      </w:tr>
      <w:tr w:rsidR="00413A92" w14:paraId="0133FB24" w14:textId="77777777" w:rsidTr="000B7450">
        <w:tc>
          <w:tcPr>
            <w:tcW w:w="1647" w:type="pct"/>
            <w:tcBorders>
              <w:top w:val="nil"/>
            </w:tcBorders>
          </w:tcPr>
          <w:p w14:paraId="716C2D92" w14:textId="77777777" w:rsidR="00413A92" w:rsidRPr="00D151BE" w:rsidRDefault="00413A92" w:rsidP="000B7450">
            <w:pPr>
              <w:rPr>
                <w:rFonts w:asciiTheme="majorHAnsi" w:hAnsiTheme="majorHAnsi"/>
                <w:b/>
              </w:rPr>
            </w:pPr>
          </w:p>
        </w:tc>
        <w:tc>
          <w:tcPr>
            <w:tcW w:w="1089" w:type="pct"/>
            <w:gridSpan w:val="2"/>
            <w:tcBorders>
              <w:top w:val="nil"/>
            </w:tcBorders>
          </w:tcPr>
          <w:p w14:paraId="5E1D3B24" w14:textId="77777777" w:rsidR="00413A92" w:rsidRPr="00D151BE" w:rsidRDefault="00413A92" w:rsidP="000B7450">
            <w:pPr>
              <w:jc w:val="center"/>
              <w:rPr>
                <w:rFonts w:asciiTheme="majorHAnsi" w:hAnsiTheme="majorHAnsi"/>
                <w:b/>
              </w:rPr>
            </w:pPr>
            <w:r>
              <w:rPr>
                <w:rFonts w:asciiTheme="majorHAnsi" w:hAnsiTheme="majorHAnsi"/>
                <w:b/>
              </w:rPr>
              <w:t>Self</w:t>
            </w:r>
          </w:p>
        </w:tc>
        <w:tc>
          <w:tcPr>
            <w:tcW w:w="1114" w:type="pct"/>
            <w:gridSpan w:val="3"/>
            <w:tcBorders>
              <w:top w:val="nil"/>
            </w:tcBorders>
          </w:tcPr>
          <w:p w14:paraId="2272ACB8" w14:textId="77777777" w:rsidR="00413A92" w:rsidRPr="00D151BE" w:rsidRDefault="00413A92" w:rsidP="000B7450">
            <w:pPr>
              <w:jc w:val="center"/>
              <w:rPr>
                <w:rFonts w:asciiTheme="majorHAnsi" w:hAnsiTheme="majorHAnsi"/>
                <w:b/>
              </w:rPr>
            </w:pPr>
            <w:r>
              <w:rPr>
                <w:rFonts w:asciiTheme="majorHAnsi" w:hAnsiTheme="majorHAnsi"/>
                <w:b/>
              </w:rPr>
              <w:t>Students</w:t>
            </w:r>
          </w:p>
        </w:tc>
        <w:tc>
          <w:tcPr>
            <w:tcW w:w="1150" w:type="pct"/>
            <w:gridSpan w:val="3"/>
            <w:tcBorders>
              <w:top w:val="nil"/>
            </w:tcBorders>
          </w:tcPr>
          <w:p w14:paraId="2458E41D" w14:textId="77777777" w:rsidR="00413A92" w:rsidRPr="00D151BE" w:rsidRDefault="00413A92" w:rsidP="000B7450">
            <w:pPr>
              <w:jc w:val="center"/>
              <w:rPr>
                <w:rFonts w:asciiTheme="majorHAnsi" w:hAnsiTheme="majorHAnsi"/>
                <w:b/>
              </w:rPr>
            </w:pPr>
            <w:r>
              <w:rPr>
                <w:rFonts w:asciiTheme="majorHAnsi" w:hAnsiTheme="majorHAnsi"/>
                <w:b/>
              </w:rPr>
              <w:t>Peers</w:t>
            </w:r>
          </w:p>
        </w:tc>
      </w:tr>
      <w:tr w:rsidR="00413A92" w14:paraId="45D1A95D" w14:textId="77777777" w:rsidTr="000B7450">
        <w:tc>
          <w:tcPr>
            <w:tcW w:w="1647" w:type="pct"/>
            <w:tcBorders>
              <w:bottom w:val="single" w:sz="4" w:space="0" w:color="auto"/>
            </w:tcBorders>
          </w:tcPr>
          <w:p w14:paraId="423635F2" w14:textId="77777777" w:rsidR="00413A92" w:rsidRPr="00D151BE" w:rsidRDefault="00413A92" w:rsidP="00413A92">
            <w:pPr>
              <w:numPr>
                <w:ilvl w:val="0"/>
                <w:numId w:val="12"/>
              </w:numPr>
              <w:rPr>
                <w:rFonts w:cs="Times New Roman"/>
                <w:szCs w:val="20"/>
              </w:rPr>
            </w:pPr>
            <w:r w:rsidRPr="00D151BE">
              <w:rPr>
                <w:rFonts w:cs="Times New Roman"/>
                <w:szCs w:val="20"/>
              </w:rPr>
              <w:t>Challenging students to be engaged learners</w:t>
            </w:r>
          </w:p>
          <w:p w14:paraId="34C062A7" w14:textId="77777777" w:rsidR="00413A92" w:rsidRPr="00D151BE" w:rsidRDefault="00413A92" w:rsidP="00413A92">
            <w:pPr>
              <w:numPr>
                <w:ilvl w:val="0"/>
                <w:numId w:val="12"/>
              </w:numPr>
              <w:textAlignment w:val="baseline"/>
              <w:rPr>
                <w:rFonts w:eastAsia="Times New Roman" w:cs="Times New Roman"/>
                <w:szCs w:val="20"/>
                <w:lang w:eastAsia="en-US"/>
              </w:rPr>
            </w:pPr>
            <w:r w:rsidRPr="00D151BE">
              <w:rPr>
                <w:rFonts w:eastAsia="Times New Roman" w:cs="Times New Roman"/>
                <w:szCs w:val="20"/>
                <w:lang w:eastAsia="en-US"/>
              </w:rPr>
              <w:t>Cultivating informed critical thinking and creative expression</w:t>
            </w:r>
          </w:p>
          <w:p w14:paraId="53956886" w14:textId="77777777" w:rsidR="00413A92" w:rsidRDefault="00413A92" w:rsidP="00413A92">
            <w:pPr>
              <w:numPr>
                <w:ilvl w:val="0"/>
                <w:numId w:val="12"/>
              </w:numPr>
              <w:textAlignment w:val="baseline"/>
              <w:rPr>
                <w:rFonts w:eastAsia="Times New Roman" w:cs="Times New Roman"/>
                <w:szCs w:val="20"/>
                <w:lang w:eastAsia="en-US"/>
              </w:rPr>
            </w:pPr>
            <w:r w:rsidRPr="00D151BE">
              <w:rPr>
                <w:rFonts w:eastAsia="Times New Roman" w:cs="Times New Roman"/>
                <w:szCs w:val="20"/>
                <w:lang w:eastAsia="en-US"/>
              </w:rPr>
              <w:t>Encouraging translation of knowledge into practice and service</w:t>
            </w:r>
          </w:p>
          <w:p w14:paraId="25D7BDF0" w14:textId="77777777" w:rsidR="00413A92" w:rsidRPr="005E5B1B" w:rsidRDefault="00413A92" w:rsidP="000B7450">
            <w:pPr>
              <w:ind w:left="360"/>
              <w:textAlignment w:val="baseline"/>
              <w:rPr>
                <w:rFonts w:eastAsia="Times New Roman" w:cs="Times New Roman"/>
                <w:szCs w:val="20"/>
                <w:lang w:eastAsia="en-US"/>
              </w:rPr>
            </w:pPr>
          </w:p>
        </w:tc>
        <w:tc>
          <w:tcPr>
            <w:tcW w:w="1089" w:type="pct"/>
            <w:gridSpan w:val="2"/>
            <w:tcBorders>
              <w:bottom w:val="single" w:sz="4" w:space="0" w:color="auto"/>
            </w:tcBorders>
          </w:tcPr>
          <w:p w14:paraId="609E712F" w14:textId="77777777" w:rsidR="00413A92" w:rsidRDefault="00413A92" w:rsidP="00413A92">
            <w:pPr>
              <w:pStyle w:val="ListParagraph"/>
              <w:numPr>
                <w:ilvl w:val="0"/>
                <w:numId w:val="15"/>
              </w:numPr>
              <w:spacing w:after="0" w:line="240" w:lineRule="auto"/>
            </w:pPr>
            <w:r w:rsidRPr="005E5B1B">
              <w:t>Unit I</w:t>
            </w:r>
          </w:p>
          <w:p w14:paraId="3968FF7A" w14:textId="77777777" w:rsidR="00413A92" w:rsidRDefault="00413A92" w:rsidP="00413A92">
            <w:pPr>
              <w:pStyle w:val="ListParagraph"/>
              <w:numPr>
                <w:ilvl w:val="0"/>
                <w:numId w:val="15"/>
              </w:numPr>
              <w:spacing w:after="0" w:line="240" w:lineRule="auto"/>
            </w:pPr>
            <w:r>
              <w:t>Syllabus</w:t>
            </w:r>
          </w:p>
          <w:p w14:paraId="0C1DB846" w14:textId="77777777" w:rsidR="00413A92" w:rsidRPr="005E5B1B" w:rsidRDefault="00413A92" w:rsidP="00413A92">
            <w:pPr>
              <w:pStyle w:val="ListParagraph"/>
              <w:numPr>
                <w:ilvl w:val="0"/>
                <w:numId w:val="15"/>
              </w:numPr>
              <w:spacing w:after="0" w:line="240" w:lineRule="auto"/>
            </w:pPr>
            <w:r>
              <w:t>Assignments</w:t>
            </w:r>
          </w:p>
          <w:p w14:paraId="6B331DCF" w14:textId="77777777" w:rsidR="00413A92" w:rsidRPr="005E5B1B" w:rsidRDefault="00413A92" w:rsidP="000B7450">
            <w:pPr>
              <w:widowControl w:val="0"/>
              <w:autoSpaceDE w:val="0"/>
              <w:autoSpaceDN w:val="0"/>
              <w:adjustRightInd w:val="0"/>
              <w:rPr>
                <w:rFonts w:ascii="7nÎ˛" w:hAnsi="7nÎ˛" w:cs="7nÎ˛"/>
                <w:szCs w:val="20"/>
              </w:rPr>
            </w:pPr>
          </w:p>
        </w:tc>
        <w:tc>
          <w:tcPr>
            <w:tcW w:w="1114" w:type="pct"/>
            <w:gridSpan w:val="3"/>
            <w:tcBorders>
              <w:bottom w:val="single" w:sz="4" w:space="0" w:color="auto"/>
            </w:tcBorders>
          </w:tcPr>
          <w:p w14:paraId="230B79E0" w14:textId="77777777" w:rsidR="00413A92" w:rsidRPr="005E5B1B" w:rsidRDefault="00413A92" w:rsidP="00413A92">
            <w:pPr>
              <w:pStyle w:val="ListParagraph"/>
              <w:widowControl w:val="0"/>
              <w:numPr>
                <w:ilvl w:val="0"/>
                <w:numId w:val="15"/>
              </w:numPr>
              <w:autoSpaceDE w:val="0"/>
              <w:autoSpaceDN w:val="0"/>
              <w:adjustRightInd w:val="0"/>
              <w:spacing w:after="0" w:line="240" w:lineRule="auto"/>
              <w:rPr>
                <w:rFonts w:ascii="7nÎ˛" w:hAnsi="7nÎ˛" w:cs="7nÎ˛"/>
                <w:szCs w:val="20"/>
              </w:rPr>
            </w:pPr>
            <w:proofErr w:type="spellStart"/>
            <w:r w:rsidRPr="005E5B1B">
              <w:rPr>
                <w:rFonts w:ascii="7nÎ˛" w:hAnsi="7nÎ˛" w:cs="7nÎ˛"/>
                <w:szCs w:val="20"/>
              </w:rPr>
              <w:t>SPoTs</w:t>
            </w:r>
            <w:proofErr w:type="spellEnd"/>
          </w:p>
        </w:tc>
        <w:tc>
          <w:tcPr>
            <w:tcW w:w="1150" w:type="pct"/>
            <w:gridSpan w:val="3"/>
            <w:tcBorders>
              <w:bottom w:val="single" w:sz="4" w:space="0" w:color="auto"/>
            </w:tcBorders>
          </w:tcPr>
          <w:p w14:paraId="0A4F3A9B" w14:textId="77777777" w:rsidR="00413A92" w:rsidRDefault="00413A92" w:rsidP="00413A92">
            <w:pPr>
              <w:pStyle w:val="ListParagraph"/>
              <w:widowControl w:val="0"/>
              <w:numPr>
                <w:ilvl w:val="0"/>
                <w:numId w:val="15"/>
              </w:numPr>
              <w:autoSpaceDE w:val="0"/>
              <w:autoSpaceDN w:val="0"/>
              <w:adjustRightInd w:val="0"/>
              <w:spacing w:after="0" w:line="240" w:lineRule="auto"/>
              <w:rPr>
                <w:rFonts w:ascii="7nÎ˛" w:hAnsi="7nÎ˛" w:cs="7nÎ˛"/>
                <w:szCs w:val="20"/>
              </w:rPr>
            </w:pPr>
            <w:r>
              <w:rPr>
                <w:rFonts w:ascii="7nÎ˛" w:hAnsi="7nÎ˛" w:cs="7nÎ˛"/>
                <w:szCs w:val="20"/>
              </w:rPr>
              <w:t>Unit III</w:t>
            </w:r>
          </w:p>
          <w:p w14:paraId="1C87F094" w14:textId="77777777" w:rsidR="00413A92" w:rsidRDefault="00413A92" w:rsidP="00413A92">
            <w:pPr>
              <w:pStyle w:val="ListParagraph"/>
              <w:widowControl w:val="0"/>
              <w:numPr>
                <w:ilvl w:val="0"/>
                <w:numId w:val="15"/>
              </w:numPr>
              <w:autoSpaceDE w:val="0"/>
              <w:autoSpaceDN w:val="0"/>
              <w:adjustRightInd w:val="0"/>
              <w:spacing w:after="0" w:line="240" w:lineRule="auto"/>
              <w:rPr>
                <w:rFonts w:ascii="7nÎ˛" w:hAnsi="7nÎ˛" w:cs="7nÎ˛"/>
                <w:szCs w:val="20"/>
              </w:rPr>
            </w:pPr>
            <w:r>
              <w:rPr>
                <w:rFonts w:ascii="7nÎ˛" w:hAnsi="7nÎ˛" w:cs="7nÎ˛"/>
                <w:szCs w:val="20"/>
              </w:rPr>
              <w:t>Observation</w:t>
            </w:r>
          </w:p>
          <w:p w14:paraId="26250DF2" w14:textId="77777777" w:rsidR="00413A92" w:rsidRPr="005E5B1B" w:rsidRDefault="00413A92" w:rsidP="00413A92">
            <w:pPr>
              <w:pStyle w:val="ListParagraph"/>
              <w:widowControl w:val="0"/>
              <w:numPr>
                <w:ilvl w:val="0"/>
                <w:numId w:val="15"/>
              </w:numPr>
              <w:autoSpaceDE w:val="0"/>
              <w:autoSpaceDN w:val="0"/>
              <w:adjustRightInd w:val="0"/>
              <w:spacing w:after="0" w:line="240" w:lineRule="auto"/>
              <w:rPr>
                <w:rFonts w:ascii="7nÎ˛" w:hAnsi="7nÎ˛" w:cs="7nÎ˛"/>
                <w:szCs w:val="20"/>
              </w:rPr>
            </w:pPr>
            <w:r>
              <w:rPr>
                <w:rFonts w:ascii="7nÎ˛" w:hAnsi="7nÎ˛" w:cs="7nÎ˛"/>
                <w:szCs w:val="20"/>
              </w:rPr>
              <w:t>Letter</w:t>
            </w:r>
          </w:p>
          <w:p w14:paraId="7694CEE2" w14:textId="77777777" w:rsidR="00413A92" w:rsidRPr="005E5B1B" w:rsidRDefault="00413A92" w:rsidP="000B7450">
            <w:pPr>
              <w:widowControl w:val="0"/>
              <w:autoSpaceDE w:val="0"/>
              <w:autoSpaceDN w:val="0"/>
              <w:adjustRightInd w:val="0"/>
              <w:rPr>
                <w:rFonts w:ascii="7nÎ˛" w:hAnsi="7nÎ˛" w:cs="7nÎ˛"/>
                <w:szCs w:val="20"/>
              </w:rPr>
            </w:pPr>
          </w:p>
        </w:tc>
      </w:tr>
      <w:tr w:rsidR="00413A92" w14:paraId="4AE3B038" w14:textId="77777777" w:rsidTr="000B7450">
        <w:trPr>
          <w:trHeight w:val="1439"/>
        </w:trPr>
        <w:tc>
          <w:tcPr>
            <w:tcW w:w="5000" w:type="pct"/>
            <w:gridSpan w:val="9"/>
          </w:tcPr>
          <w:p w14:paraId="175B38F8" w14:textId="77777777" w:rsidR="00413A92" w:rsidRDefault="00413A92" w:rsidP="000B7450">
            <w:pPr>
              <w:rPr>
                <w:b/>
                <w:color w:val="3366FF"/>
              </w:rPr>
            </w:pPr>
          </w:p>
          <w:p w14:paraId="21A52FF4" w14:textId="77777777" w:rsidR="00413A92" w:rsidRPr="00402291" w:rsidRDefault="00413A92" w:rsidP="000B7450">
            <w:pPr>
              <w:rPr>
                <w:rFonts w:asciiTheme="majorHAnsi" w:hAnsiTheme="majorHAnsi"/>
                <w:b/>
                <w:sz w:val="22"/>
                <w:szCs w:val="22"/>
              </w:rPr>
            </w:pPr>
            <w:r w:rsidRPr="00402291">
              <w:rPr>
                <w:rFonts w:asciiTheme="majorHAnsi" w:hAnsiTheme="majorHAnsi"/>
                <w:b/>
                <w:sz w:val="22"/>
                <w:szCs w:val="22"/>
              </w:rPr>
              <w:t>Measure 3:  Instructional effectiveness</w:t>
            </w:r>
          </w:p>
          <w:p w14:paraId="592D5D69" w14:textId="77777777" w:rsidR="00413A92" w:rsidRDefault="00413A92" w:rsidP="000B7450">
            <w:pPr>
              <w:rPr>
                <w:b/>
              </w:rPr>
            </w:pPr>
          </w:p>
          <w:p w14:paraId="3C6560B5" w14:textId="77777777" w:rsidR="00413A92" w:rsidRPr="00CE62C9" w:rsidRDefault="00413A92" w:rsidP="000B7450">
            <w:pPr>
              <w:ind w:left="360"/>
              <w:rPr>
                <w:rFonts w:cs="Times New Roman"/>
                <w:szCs w:val="20"/>
              </w:rPr>
            </w:pPr>
            <w:r w:rsidRPr="00CE62C9">
              <w:rPr>
                <w:rFonts w:cs="Times New Roman"/>
                <w:szCs w:val="20"/>
              </w:rPr>
              <w:t>Elon faculty are committed to excellence in the execution and delivery of learner-centered plans within concrete contexts of learning.</w:t>
            </w:r>
          </w:p>
          <w:p w14:paraId="183BD83F" w14:textId="77777777" w:rsidR="00413A92" w:rsidRPr="006D54DC" w:rsidRDefault="00413A92" w:rsidP="000B7450"/>
        </w:tc>
      </w:tr>
      <w:tr w:rsidR="00413A92" w14:paraId="26AF5269" w14:textId="77777777" w:rsidTr="000B7450">
        <w:tc>
          <w:tcPr>
            <w:tcW w:w="1647" w:type="pct"/>
            <w:tcBorders>
              <w:bottom w:val="nil"/>
            </w:tcBorders>
          </w:tcPr>
          <w:p w14:paraId="1BEC2B30" w14:textId="77777777" w:rsidR="00413A92" w:rsidRPr="00D151BE" w:rsidRDefault="00413A92" w:rsidP="000B7450">
            <w:pPr>
              <w:rPr>
                <w:rFonts w:asciiTheme="majorHAnsi" w:hAnsiTheme="majorHAnsi"/>
                <w:b/>
              </w:rPr>
            </w:pPr>
            <w:r w:rsidRPr="00D151BE">
              <w:rPr>
                <w:rFonts w:asciiTheme="majorHAnsi" w:hAnsiTheme="majorHAnsi"/>
                <w:b/>
              </w:rPr>
              <w:t>Possible Indicators</w:t>
            </w:r>
          </w:p>
        </w:tc>
        <w:tc>
          <w:tcPr>
            <w:tcW w:w="3353" w:type="pct"/>
            <w:gridSpan w:val="8"/>
            <w:tcBorders>
              <w:bottom w:val="nil"/>
            </w:tcBorders>
          </w:tcPr>
          <w:p w14:paraId="4E4197EB" w14:textId="77777777" w:rsidR="00413A92" w:rsidRDefault="00413A92" w:rsidP="000B7450">
            <w:pPr>
              <w:jc w:val="center"/>
              <w:rPr>
                <w:rFonts w:asciiTheme="majorHAnsi" w:hAnsiTheme="majorHAnsi"/>
                <w:b/>
              </w:rPr>
            </w:pPr>
            <w:r w:rsidRPr="00D151BE">
              <w:rPr>
                <w:rFonts w:asciiTheme="majorHAnsi" w:hAnsiTheme="majorHAnsi"/>
                <w:b/>
              </w:rPr>
              <w:t>Sources of Evidence</w:t>
            </w:r>
          </w:p>
          <w:p w14:paraId="456DF726" w14:textId="77777777" w:rsidR="00413A92" w:rsidRPr="00D151BE" w:rsidRDefault="00413A92" w:rsidP="000B7450">
            <w:pPr>
              <w:jc w:val="center"/>
              <w:rPr>
                <w:rFonts w:asciiTheme="majorHAnsi" w:hAnsiTheme="majorHAnsi"/>
                <w:b/>
              </w:rPr>
            </w:pPr>
          </w:p>
        </w:tc>
      </w:tr>
      <w:tr w:rsidR="00413A92" w14:paraId="355E9013" w14:textId="77777777" w:rsidTr="000B7450">
        <w:tc>
          <w:tcPr>
            <w:tcW w:w="1647" w:type="pct"/>
            <w:tcBorders>
              <w:top w:val="nil"/>
            </w:tcBorders>
          </w:tcPr>
          <w:p w14:paraId="2EF9454F" w14:textId="77777777" w:rsidR="00413A92" w:rsidRPr="00D151BE" w:rsidRDefault="00413A92" w:rsidP="000B7450">
            <w:pPr>
              <w:rPr>
                <w:rFonts w:asciiTheme="majorHAnsi" w:hAnsiTheme="majorHAnsi"/>
                <w:b/>
              </w:rPr>
            </w:pPr>
          </w:p>
        </w:tc>
        <w:tc>
          <w:tcPr>
            <w:tcW w:w="1089" w:type="pct"/>
            <w:gridSpan w:val="2"/>
            <w:tcBorders>
              <w:top w:val="nil"/>
            </w:tcBorders>
          </w:tcPr>
          <w:p w14:paraId="2BE4C643" w14:textId="77777777" w:rsidR="00413A92" w:rsidRPr="00C24770" w:rsidRDefault="00413A92" w:rsidP="000B7450">
            <w:pPr>
              <w:widowControl w:val="0"/>
              <w:autoSpaceDE w:val="0"/>
              <w:autoSpaceDN w:val="0"/>
              <w:adjustRightInd w:val="0"/>
              <w:ind w:left="360"/>
              <w:rPr>
                <w:rFonts w:asciiTheme="majorHAnsi" w:hAnsiTheme="majorHAnsi" w:cs="7nÎ˛"/>
                <w:b/>
                <w:szCs w:val="20"/>
              </w:rPr>
            </w:pPr>
            <w:r w:rsidRPr="00C24770">
              <w:rPr>
                <w:rFonts w:asciiTheme="majorHAnsi" w:hAnsiTheme="majorHAnsi" w:cs="7nÎ˛"/>
                <w:b/>
                <w:szCs w:val="20"/>
              </w:rPr>
              <w:t>Self</w:t>
            </w:r>
          </w:p>
        </w:tc>
        <w:tc>
          <w:tcPr>
            <w:tcW w:w="1114" w:type="pct"/>
            <w:gridSpan w:val="3"/>
            <w:tcBorders>
              <w:top w:val="nil"/>
            </w:tcBorders>
          </w:tcPr>
          <w:p w14:paraId="0296B4A9" w14:textId="77777777" w:rsidR="00413A92" w:rsidRPr="00C24770" w:rsidRDefault="00413A92" w:rsidP="000B7450">
            <w:pPr>
              <w:widowControl w:val="0"/>
              <w:autoSpaceDE w:val="0"/>
              <w:autoSpaceDN w:val="0"/>
              <w:adjustRightInd w:val="0"/>
              <w:ind w:left="360"/>
              <w:rPr>
                <w:rFonts w:asciiTheme="majorHAnsi" w:hAnsiTheme="majorHAnsi" w:cs="7nÎ˛"/>
                <w:b/>
                <w:szCs w:val="20"/>
              </w:rPr>
            </w:pPr>
            <w:r w:rsidRPr="00C24770">
              <w:rPr>
                <w:rFonts w:asciiTheme="majorHAnsi" w:hAnsiTheme="majorHAnsi" w:cs="7nÎ˛"/>
                <w:b/>
                <w:szCs w:val="20"/>
              </w:rPr>
              <w:t>Students</w:t>
            </w:r>
          </w:p>
        </w:tc>
        <w:tc>
          <w:tcPr>
            <w:tcW w:w="1150" w:type="pct"/>
            <w:gridSpan w:val="3"/>
            <w:tcBorders>
              <w:top w:val="nil"/>
            </w:tcBorders>
          </w:tcPr>
          <w:p w14:paraId="6A9D7356" w14:textId="77777777" w:rsidR="00413A92" w:rsidRPr="00C24770" w:rsidRDefault="00413A92" w:rsidP="000B7450">
            <w:pPr>
              <w:widowControl w:val="0"/>
              <w:autoSpaceDE w:val="0"/>
              <w:autoSpaceDN w:val="0"/>
              <w:adjustRightInd w:val="0"/>
              <w:ind w:left="360"/>
              <w:rPr>
                <w:rFonts w:asciiTheme="majorHAnsi" w:hAnsiTheme="majorHAnsi"/>
                <w:b/>
              </w:rPr>
            </w:pPr>
            <w:r w:rsidRPr="00C24770">
              <w:rPr>
                <w:rFonts w:asciiTheme="majorHAnsi" w:hAnsiTheme="majorHAnsi"/>
                <w:b/>
              </w:rPr>
              <w:t>Peers</w:t>
            </w:r>
          </w:p>
        </w:tc>
      </w:tr>
      <w:tr w:rsidR="00413A92" w14:paraId="3C05C93C" w14:textId="77777777" w:rsidTr="000B7450">
        <w:tc>
          <w:tcPr>
            <w:tcW w:w="1647" w:type="pct"/>
            <w:tcBorders>
              <w:bottom w:val="single" w:sz="4" w:space="0" w:color="auto"/>
            </w:tcBorders>
          </w:tcPr>
          <w:p w14:paraId="07C9ED9E" w14:textId="77777777" w:rsidR="00413A92" w:rsidRPr="00EA36AA" w:rsidRDefault="00413A92" w:rsidP="00413A92">
            <w:pPr>
              <w:numPr>
                <w:ilvl w:val="0"/>
                <w:numId w:val="13"/>
              </w:numPr>
              <w:rPr>
                <w:rFonts w:cs="Times New Roman"/>
                <w:szCs w:val="20"/>
              </w:rPr>
            </w:pPr>
            <w:r w:rsidRPr="00D151BE">
              <w:rPr>
                <w:rFonts w:cs="Times New Roman"/>
                <w:szCs w:val="20"/>
              </w:rPr>
              <w:t>Demonstrating an ability to communicate effectively with students</w:t>
            </w:r>
          </w:p>
          <w:p w14:paraId="68AD692A" w14:textId="77777777" w:rsidR="00413A92" w:rsidRPr="00D151BE" w:rsidRDefault="00413A92" w:rsidP="00413A92">
            <w:pPr>
              <w:numPr>
                <w:ilvl w:val="0"/>
                <w:numId w:val="13"/>
              </w:numPr>
              <w:textAlignment w:val="baseline"/>
              <w:rPr>
                <w:rFonts w:eastAsia="Times New Roman" w:cs="Times New Roman"/>
                <w:szCs w:val="20"/>
                <w:lang w:eastAsia="en-US"/>
              </w:rPr>
            </w:pPr>
            <w:r w:rsidRPr="00D151BE">
              <w:rPr>
                <w:rFonts w:eastAsia="Times New Roman" w:cs="Times New Roman"/>
                <w:szCs w:val="20"/>
                <w:lang w:eastAsia="en-US"/>
              </w:rPr>
              <w:t>Using appropriate and varied methods and strategies of teaching, assessing, and grading</w:t>
            </w:r>
          </w:p>
          <w:p w14:paraId="5FA854E3" w14:textId="77777777" w:rsidR="00413A92" w:rsidRPr="005E5B1B" w:rsidRDefault="00413A92" w:rsidP="00413A92">
            <w:pPr>
              <w:numPr>
                <w:ilvl w:val="0"/>
                <w:numId w:val="13"/>
              </w:numPr>
              <w:textAlignment w:val="baseline"/>
              <w:rPr>
                <w:rFonts w:eastAsia="Times New Roman" w:cs="Times New Roman"/>
                <w:szCs w:val="20"/>
                <w:lang w:eastAsia="en-US"/>
              </w:rPr>
            </w:pPr>
            <w:r w:rsidRPr="00D151BE">
              <w:rPr>
                <w:rFonts w:eastAsia="Times New Roman" w:cs="Times New Roman"/>
                <w:szCs w:val="20"/>
                <w:lang w:eastAsia="en-US"/>
              </w:rPr>
              <w:t>Using technology to meet course objectives</w:t>
            </w:r>
          </w:p>
          <w:p w14:paraId="57CD6021" w14:textId="77777777" w:rsidR="00413A92" w:rsidRDefault="00413A92" w:rsidP="000B7450"/>
        </w:tc>
        <w:tc>
          <w:tcPr>
            <w:tcW w:w="1089" w:type="pct"/>
            <w:gridSpan w:val="2"/>
            <w:tcBorders>
              <w:bottom w:val="single" w:sz="4" w:space="0" w:color="auto"/>
            </w:tcBorders>
          </w:tcPr>
          <w:p w14:paraId="7CEDBFC1" w14:textId="77777777" w:rsidR="00413A92" w:rsidRDefault="00413A92" w:rsidP="00413A92">
            <w:pPr>
              <w:pStyle w:val="ListParagraph"/>
              <w:widowControl w:val="0"/>
              <w:numPr>
                <w:ilvl w:val="0"/>
                <w:numId w:val="16"/>
              </w:numPr>
              <w:autoSpaceDE w:val="0"/>
              <w:autoSpaceDN w:val="0"/>
              <w:adjustRightInd w:val="0"/>
              <w:spacing w:after="0" w:line="240" w:lineRule="auto"/>
              <w:rPr>
                <w:rFonts w:ascii="7nÎ˛" w:hAnsi="7nÎ˛" w:cs="7nÎ˛"/>
                <w:szCs w:val="20"/>
              </w:rPr>
            </w:pPr>
            <w:r w:rsidRPr="005E5B1B">
              <w:rPr>
                <w:rFonts w:ascii="7nÎ˛" w:hAnsi="7nÎ˛" w:cs="7nÎ˛"/>
                <w:szCs w:val="20"/>
              </w:rPr>
              <w:t>Unit I</w:t>
            </w:r>
          </w:p>
          <w:p w14:paraId="47E25349" w14:textId="77777777" w:rsidR="00413A92" w:rsidRDefault="00413A92" w:rsidP="00413A92">
            <w:pPr>
              <w:pStyle w:val="ListParagraph"/>
              <w:widowControl w:val="0"/>
              <w:numPr>
                <w:ilvl w:val="0"/>
                <w:numId w:val="16"/>
              </w:numPr>
              <w:autoSpaceDE w:val="0"/>
              <w:autoSpaceDN w:val="0"/>
              <w:adjustRightInd w:val="0"/>
              <w:spacing w:after="0" w:line="240" w:lineRule="auto"/>
              <w:rPr>
                <w:rFonts w:ascii="7nÎ˛" w:hAnsi="7nÎ˛" w:cs="7nÎ˛"/>
                <w:szCs w:val="20"/>
              </w:rPr>
            </w:pPr>
            <w:r>
              <w:rPr>
                <w:rFonts w:ascii="7nÎ˛" w:hAnsi="7nÎ˛" w:cs="7nÎ˛"/>
                <w:szCs w:val="20"/>
              </w:rPr>
              <w:t>Syllabus</w:t>
            </w:r>
          </w:p>
          <w:p w14:paraId="50A2013E" w14:textId="77777777" w:rsidR="00413A92" w:rsidRPr="005E5B1B" w:rsidRDefault="00413A92" w:rsidP="00413A92">
            <w:pPr>
              <w:pStyle w:val="ListParagraph"/>
              <w:widowControl w:val="0"/>
              <w:numPr>
                <w:ilvl w:val="0"/>
                <w:numId w:val="16"/>
              </w:numPr>
              <w:autoSpaceDE w:val="0"/>
              <w:autoSpaceDN w:val="0"/>
              <w:adjustRightInd w:val="0"/>
              <w:spacing w:after="0" w:line="240" w:lineRule="auto"/>
              <w:rPr>
                <w:rFonts w:ascii="7nÎ˛" w:hAnsi="7nÎ˛" w:cs="7nÎ˛"/>
                <w:szCs w:val="20"/>
              </w:rPr>
            </w:pPr>
            <w:r>
              <w:rPr>
                <w:rFonts w:ascii="7nÎ˛" w:hAnsi="7nÎ˛" w:cs="7nÎ˛"/>
                <w:szCs w:val="20"/>
              </w:rPr>
              <w:t>Assignments</w:t>
            </w:r>
          </w:p>
          <w:p w14:paraId="72168CAD" w14:textId="77777777" w:rsidR="00413A92" w:rsidRPr="005E5B1B" w:rsidRDefault="00413A92" w:rsidP="00413A92">
            <w:pPr>
              <w:pStyle w:val="ListParagraph"/>
              <w:widowControl w:val="0"/>
              <w:numPr>
                <w:ilvl w:val="0"/>
                <w:numId w:val="16"/>
              </w:numPr>
              <w:autoSpaceDE w:val="0"/>
              <w:autoSpaceDN w:val="0"/>
              <w:adjustRightInd w:val="0"/>
              <w:spacing w:after="0" w:line="240" w:lineRule="auto"/>
              <w:rPr>
                <w:rFonts w:ascii="7nÎ˛" w:hAnsi="7nÎ˛" w:cs="7nÎ˛"/>
                <w:szCs w:val="20"/>
              </w:rPr>
            </w:pPr>
            <w:r w:rsidRPr="005E5B1B">
              <w:rPr>
                <w:rFonts w:ascii="7nÎ˛" w:hAnsi="7nÎ˛" w:cs="7nÎ˛"/>
                <w:szCs w:val="20"/>
              </w:rPr>
              <w:t>Video</w:t>
            </w:r>
          </w:p>
        </w:tc>
        <w:tc>
          <w:tcPr>
            <w:tcW w:w="1114" w:type="pct"/>
            <w:gridSpan w:val="3"/>
            <w:tcBorders>
              <w:bottom w:val="single" w:sz="4" w:space="0" w:color="auto"/>
            </w:tcBorders>
          </w:tcPr>
          <w:p w14:paraId="661FAAED" w14:textId="77777777" w:rsidR="00413A92" w:rsidRPr="005E5B1B" w:rsidRDefault="00413A92" w:rsidP="00413A92">
            <w:pPr>
              <w:pStyle w:val="ListParagraph"/>
              <w:widowControl w:val="0"/>
              <w:numPr>
                <w:ilvl w:val="0"/>
                <w:numId w:val="16"/>
              </w:numPr>
              <w:autoSpaceDE w:val="0"/>
              <w:autoSpaceDN w:val="0"/>
              <w:adjustRightInd w:val="0"/>
              <w:spacing w:after="0" w:line="240" w:lineRule="auto"/>
              <w:rPr>
                <w:rFonts w:ascii="7nÎ˛" w:hAnsi="7nÎ˛" w:cs="7nÎ˛"/>
                <w:szCs w:val="20"/>
              </w:rPr>
            </w:pPr>
            <w:proofErr w:type="spellStart"/>
            <w:r w:rsidRPr="005E5B1B">
              <w:rPr>
                <w:rFonts w:ascii="7nÎ˛" w:hAnsi="7nÎ˛" w:cs="7nÎ˛"/>
                <w:szCs w:val="20"/>
              </w:rPr>
              <w:t>SPoTs</w:t>
            </w:r>
            <w:proofErr w:type="spellEnd"/>
          </w:p>
        </w:tc>
        <w:tc>
          <w:tcPr>
            <w:tcW w:w="1150" w:type="pct"/>
            <w:gridSpan w:val="3"/>
            <w:tcBorders>
              <w:bottom w:val="single" w:sz="4" w:space="0" w:color="auto"/>
            </w:tcBorders>
          </w:tcPr>
          <w:p w14:paraId="67ED3D75" w14:textId="77777777" w:rsidR="00413A92" w:rsidRPr="005E5B1B" w:rsidRDefault="00413A92" w:rsidP="00413A92">
            <w:pPr>
              <w:pStyle w:val="ListParagraph"/>
              <w:widowControl w:val="0"/>
              <w:numPr>
                <w:ilvl w:val="0"/>
                <w:numId w:val="16"/>
              </w:numPr>
              <w:autoSpaceDE w:val="0"/>
              <w:autoSpaceDN w:val="0"/>
              <w:adjustRightInd w:val="0"/>
              <w:spacing w:after="0" w:line="240" w:lineRule="auto"/>
              <w:rPr>
                <w:rFonts w:ascii="7nÎ˛" w:hAnsi="7nÎ˛" w:cs="7nÎ˛"/>
                <w:szCs w:val="20"/>
              </w:rPr>
            </w:pPr>
            <w:r w:rsidRPr="005E5B1B">
              <w:rPr>
                <w:rFonts w:ascii="7nÎ˛" w:hAnsi="7nÎ˛" w:cs="7nÎ˛"/>
                <w:szCs w:val="20"/>
              </w:rPr>
              <w:t>Unit III</w:t>
            </w:r>
          </w:p>
          <w:p w14:paraId="135B98E8" w14:textId="77777777" w:rsidR="00413A92" w:rsidRPr="005E5B1B" w:rsidRDefault="00413A92" w:rsidP="00413A92">
            <w:pPr>
              <w:pStyle w:val="ListParagraph"/>
              <w:widowControl w:val="0"/>
              <w:numPr>
                <w:ilvl w:val="0"/>
                <w:numId w:val="16"/>
              </w:numPr>
              <w:autoSpaceDE w:val="0"/>
              <w:autoSpaceDN w:val="0"/>
              <w:adjustRightInd w:val="0"/>
              <w:spacing w:after="0" w:line="240" w:lineRule="auto"/>
              <w:rPr>
                <w:rFonts w:ascii="7nÎ˛" w:hAnsi="7nÎ˛" w:cs="7nÎ˛"/>
                <w:szCs w:val="20"/>
              </w:rPr>
            </w:pPr>
            <w:r w:rsidRPr="005E5B1B">
              <w:rPr>
                <w:rFonts w:ascii="7nÎ˛" w:hAnsi="7nÎ˛" w:cs="7nÎ˛"/>
                <w:szCs w:val="20"/>
              </w:rPr>
              <w:t>Observation</w:t>
            </w:r>
          </w:p>
        </w:tc>
      </w:tr>
      <w:tr w:rsidR="00413A92" w14:paraId="068806B6" w14:textId="77777777" w:rsidTr="000B7450">
        <w:trPr>
          <w:trHeight w:val="1394"/>
        </w:trPr>
        <w:tc>
          <w:tcPr>
            <w:tcW w:w="5000" w:type="pct"/>
            <w:gridSpan w:val="9"/>
          </w:tcPr>
          <w:p w14:paraId="4505CB2D" w14:textId="77777777" w:rsidR="00413A92" w:rsidRDefault="00413A92" w:rsidP="000B7450">
            <w:pPr>
              <w:rPr>
                <w:b/>
                <w:color w:val="3366FF"/>
              </w:rPr>
            </w:pPr>
          </w:p>
          <w:p w14:paraId="0A506906" w14:textId="77777777" w:rsidR="00413A92" w:rsidRPr="00402291" w:rsidRDefault="00413A92" w:rsidP="000B7450">
            <w:pPr>
              <w:rPr>
                <w:rFonts w:asciiTheme="majorHAnsi" w:hAnsiTheme="majorHAnsi"/>
                <w:b/>
                <w:sz w:val="22"/>
                <w:szCs w:val="22"/>
              </w:rPr>
            </w:pPr>
            <w:r w:rsidRPr="00402291">
              <w:rPr>
                <w:rFonts w:asciiTheme="majorHAnsi" w:hAnsiTheme="majorHAnsi"/>
                <w:b/>
                <w:sz w:val="22"/>
                <w:szCs w:val="22"/>
              </w:rPr>
              <w:t>Measure 4:  Supportive and equitable learning environment</w:t>
            </w:r>
          </w:p>
          <w:p w14:paraId="49D9BF54" w14:textId="77777777" w:rsidR="00413A92" w:rsidRDefault="00413A92" w:rsidP="000B7450">
            <w:pPr>
              <w:rPr>
                <w:b/>
              </w:rPr>
            </w:pPr>
          </w:p>
          <w:p w14:paraId="418DE38A" w14:textId="77777777" w:rsidR="00413A92" w:rsidRPr="00CE62C9" w:rsidRDefault="00413A92" w:rsidP="000B7450">
            <w:pPr>
              <w:ind w:left="360"/>
              <w:rPr>
                <w:rFonts w:cs="Times New Roman"/>
                <w:szCs w:val="20"/>
              </w:rPr>
            </w:pPr>
            <w:r w:rsidRPr="00CE62C9">
              <w:rPr>
                <w:rFonts w:cs="Times New Roman"/>
                <w:szCs w:val="20"/>
              </w:rPr>
              <w:t xml:space="preserve">Elon faculty are committed to developing environments that support the humanity and wellbeing of </w:t>
            </w:r>
            <w:proofErr w:type="gramStart"/>
            <w:r w:rsidRPr="00CE62C9">
              <w:rPr>
                <w:rFonts w:cs="Times New Roman"/>
                <w:szCs w:val="20"/>
              </w:rPr>
              <w:t>each and every</w:t>
            </w:r>
            <w:proofErr w:type="gramEnd"/>
            <w:r w:rsidRPr="00CE62C9">
              <w:rPr>
                <w:rFonts w:cs="Times New Roman"/>
                <w:szCs w:val="20"/>
              </w:rPr>
              <w:t xml:space="preserve"> learner.</w:t>
            </w:r>
          </w:p>
          <w:p w14:paraId="7B5EFFCB" w14:textId="77777777" w:rsidR="00413A92" w:rsidRPr="006D54DC" w:rsidRDefault="00413A92" w:rsidP="000B7450"/>
        </w:tc>
      </w:tr>
      <w:tr w:rsidR="00413A92" w14:paraId="7D7C0DC5" w14:textId="77777777" w:rsidTr="000B7450">
        <w:tc>
          <w:tcPr>
            <w:tcW w:w="2414" w:type="pct"/>
            <w:gridSpan w:val="2"/>
            <w:tcBorders>
              <w:bottom w:val="nil"/>
            </w:tcBorders>
          </w:tcPr>
          <w:p w14:paraId="2B762040" w14:textId="77777777" w:rsidR="00413A92" w:rsidRPr="00D151BE" w:rsidRDefault="00413A92" w:rsidP="000B7450">
            <w:pPr>
              <w:rPr>
                <w:rFonts w:asciiTheme="majorHAnsi" w:hAnsiTheme="majorHAnsi"/>
                <w:b/>
              </w:rPr>
            </w:pPr>
            <w:r w:rsidRPr="00D151BE">
              <w:rPr>
                <w:rFonts w:asciiTheme="majorHAnsi" w:hAnsiTheme="majorHAnsi"/>
                <w:b/>
              </w:rPr>
              <w:t>Possible Indicators</w:t>
            </w:r>
          </w:p>
        </w:tc>
        <w:tc>
          <w:tcPr>
            <w:tcW w:w="2586" w:type="pct"/>
            <w:gridSpan w:val="7"/>
            <w:tcBorders>
              <w:bottom w:val="nil"/>
            </w:tcBorders>
          </w:tcPr>
          <w:p w14:paraId="6DC01090" w14:textId="77777777" w:rsidR="00413A92" w:rsidRDefault="00413A92" w:rsidP="000B7450">
            <w:pPr>
              <w:jc w:val="center"/>
              <w:rPr>
                <w:rFonts w:asciiTheme="majorHAnsi" w:hAnsiTheme="majorHAnsi"/>
                <w:b/>
              </w:rPr>
            </w:pPr>
            <w:r w:rsidRPr="00D151BE">
              <w:rPr>
                <w:rFonts w:asciiTheme="majorHAnsi" w:hAnsiTheme="majorHAnsi"/>
                <w:b/>
              </w:rPr>
              <w:t>Sources of Evidence</w:t>
            </w:r>
          </w:p>
          <w:p w14:paraId="7C4851EE" w14:textId="77777777" w:rsidR="00413A92" w:rsidRPr="00D151BE" w:rsidRDefault="00413A92" w:rsidP="000B7450">
            <w:pPr>
              <w:jc w:val="center"/>
              <w:rPr>
                <w:rFonts w:asciiTheme="majorHAnsi" w:hAnsiTheme="majorHAnsi"/>
                <w:b/>
              </w:rPr>
            </w:pPr>
          </w:p>
        </w:tc>
      </w:tr>
      <w:tr w:rsidR="00413A92" w14:paraId="1F5D5D63" w14:textId="77777777" w:rsidTr="000B7450">
        <w:tc>
          <w:tcPr>
            <w:tcW w:w="2414" w:type="pct"/>
            <w:gridSpan w:val="2"/>
            <w:tcBorders>
              <w:top w:val="nil"/>
            </w:tcBorders>
          </w:tcPr>
          <w:p w14:paraId="1B293794" w14:textId="77777777" w:rsidR="00413A92" w:rsidRPr="00D151BE" w:rsidRDefault="00413A92" w:rsidP="000B7450">
            <w:pPr>
              <w:rPr>
                <w:rFonts w:asciiTheme="majorHAnsi" w:hAnsiTheme="majorHAnsi"/>
                <w:b/>
              </w:rPr>
            </w:pPr>
          </w:p>
        </w:tc>
        <w:tc>
          <w:tcPr>
            <w:tcW w:w="910" w:type="pct"/>
            <w:gridSpan w:val="3"/>
            <w:tcBorders>
              <w:top w:val="nil"/>
            </w:tcBorders>
          </w:tcPr>
          <w:p w14:paraId="1745E9BB" w14:textId="77777777" w:rsidR="00413A92" w:rsidRPr="00C24770" w:rsidRDefault="00413A92" w:rsidP="000B7450">
            <w:pPr>
              <w:widowControl w:val="0"/>
              <w:autoSpaceDE w:val="0"/>
              <w:autoSpaceDN w:val="0"/>
              <w:adjustRightInd w:val="0"/>
              <w:jc w:val="center"/>
              <w:rPr>
                <w:rFonts w:asciiTheme="majorHAnsi" w:hAnsiTheme="majorHAnsi" w:cs="7nÎ˛"/>
                <w:b/>
                <w:szCs w:val="20"/>
              </w:rPr>
            </w:pPr>
            <w:r w:rsidRPr="00C24770">
              <w:rPr>
                <w:rFonts w:asciiTheme="majorHAnsi" w:hAnsiTheme="majorHAnsi" w:cs="7nÎ˛"/>
                <w:b/>
                <w:szCs w:val="20"/>
              </w:rPr>
              <w:t>Self</w:t>
            </w:r>
          </w:p>
        </w:tc>
        <w:tc>
          <w:tcPr>
            <w:tcW w:w="754" w:type="pct"/>
            <w:gridSpan w:val="2"/>
            <w:tcBorders>
              <w:top w:val="nil"/>
            </w:tcBorders>
          </w:tcPr>
          <w:p w14:paraId="702470EA" w14:textId="77777777" w:rsidR="00413A92" w:rsidRPr="00C24770" w:rsidRDefault="00413A92" w:rsidP="000B7450">
            <w:pPr>
              <w:jc w:val="center"/>
              <w:rPr>
                <w:rFonts w:asciiTheme="majorHAnsi" w:hAnsiTheme="majorHAnsi"/>
                <w:b/>
              </w:rPr>
            </w:pPr>
            <w:r w:rsidRPr="00C24770">
              <w:rPr>
                <w:rFonts w:asciiTheme="majorHAnsi" w:hAnsiTheme="majorHAnsi"/>
                <w:b/>
              </w:rPr>
              <w:t>Students</w:t>
            </w:r>
          </w:p>
        </w:tc>
        <w:tc>
          <w:tcPr>
            <w:tcW w:w="922" w:type="pct"/>
            <w:gridSpan w:val="2"/>
            <w:tcBorders>
              <w:top w:val="nil"/>
            </w:tcBorders>
          </w:tcPr>
          <w:p w14:paraId="410CB3E0" w14:textId="77777777" w:rsidR="00413A92" w:rsidRPr="00C24770" w:rsidRDefault="00413A92" w:rsidP="000B7450">
            <w:pPr>
              <w:jc w:val="center"/>
              <w:rPr>
                <w:rFonts w:asciiTheme="majorHAnsi" w:hAnsiTheme="majorHAnsi"/>
                <w:b/>
              </w:rPr>
            </w:pPr>
            <w:r w:rsidRPr="00C24770">
              <w:rPr>
                <w:rFonts w:asciiTheme="majorHAnsi" w:hAnsiTheme="majorHAnsi"/>
                <w:b/>
              </w:rPr>
              <w:t>Peers</w:t>
            </w:r>
          </w:p>
        </w:tc>
      </w:tr>
      <w:tr w:rsidR="00413A92" w14:paraId="31941379" w14:textId="77777777" w:rsidTr="000B7450">
        <w:tc>
          <w:tcPr>
            <w:tcW w:w="2414" w:type="pct"/>
            <w:gridSpan w:val="2"/>
            <w:tcBorders>
              <w:bottom w:val="single" w:sz="4" w:space="0" w:color="auto"/>
            </w:tcBorders>
          </w:tcPr>
          <w:p w14:paraId="5BD45D9B" w14:textId="77777777" w:rsidR="00413A92" w:rsidRPr="00D151BE" w:rsidRDefault="00413A92" w:rsidP="00413A92">
            <w:pPr>
              <w:numPr>
                <w:ilvl w:val="0"/>
                <w:numId w:val="11"/>
              </w:numPr>
              <w:rPr>
                <w:rFonts w:cs="Times New Roman"/>
                <w:szCs w:val="20"/>
              </w:rPr>
            </w:pPr>
            <w:r w:rsidRPr="00D151BE">
              <w:rPr>
                <w:rFonts w:cs="Times New Roman"/>
                <w:szCs w:val="20"/>
              </w:rPr>
              <w:t>Fostering respect for diversity</w:t>
            </w:r>
          </w:p>
          <w:p w14:paraId="7D17D773" w14:textId="77777777" w:rsidR="00413A92" w:rsidRPr="00D151BE" w:rsidRDefault="00413A92" w:rsidP="00413A92">
            <w:pPr>
              <w:numPr>
                <w:ilvl w:val="0"/>
                <w:numId w:val="11"/>
              </w:numPr>
              <w:textAlignment w:val="baseline"/>
              <w:rPr>
                <w:rFonts w:eastAsia="Times New Roman" w:cs="Times New Roman"/>
                <w:szCs w:val="20"/>
                <w:lang w:eastAsia="en-US"/>
              </w:rPr>
            </w:pPr>
            <w:r w:rsidRPr="00D151BE">
              <w:rPr>
                <w:rFonts w:eastAsia="Times New Roman" w:cs="Times New Roman"/>
                <w:szCs w:val="20"/>
                <w:lang w:eastAsia="en-US"/>
              </w:rPr>
              <w:t>Creating class environments of mutual respect</w:t>
            </w:r>
          </w:p>
          <w:p w14:paraId="16B1564F" w14:textId="77777777" w:rsidR="00413A92" w:rsidRPr="00D151BE" w:rsidRDefault="00413A92" w:rsidP="00413A92">
            <w:pPr>
              <w:numPr>
                <w:ilvl w:val="0"/>
                <w:numId w:val="11"/>
              </w:numPr>
              <w:textAlignment w:val="baseline"/>
              <w:rPr>
                <w:rFonts w:eastAsia="Times New Roman" w:cs="Times New Roman"/>
                <w:szCs w:val="20"/>
                <w:lang w:eastAsia="en-US"/>
              </w:rPr>
            </w:pPr>
            <w:r w:rsidRPr="00D151BE">
              <w:rPr>
                <w:rFonts w:eastAsia="Times New Roman" w:cs="Times New Roman"/>
                <w:szCs w:val="20"/>
                <w:lang w:eastAsia="en-US"/>
              </w:rPr>
              <w:t>Being available to students</w:t>
            </w:r>
          </w:p>
          <w:p w14:paraId="2C48CE2C" w14:textId="77777777" w:rsidR="00413A92" w:rsidRPr="00D151BE" w:rsidRDefault="00413A92" w:rsidP="00413A92">
            <w:pPr>
              <w:numPr>
                <w:ilvl w:val="0"/>
                <w:numId w:val="11"/>
              </w:numPr>
              <w:textAlignment w:val="baseline"/>
              <w:rPr>
                <w:rFonts w:eastAsia="Times New Roman" w:cs="Times New Roman"/>
                <w:szCs w:val="20"/>
                <w:lang w:eastAsia="en-US"/>
              </w:rPr>
            </w:pPr>
            <w:r w:rsidRPr="00D151BE">
              <w:rPr>
                <w:rFonts w:eastAsia="Times New Roman" w:cs="Times New Roman"/>
                <w:szCs w:val="20"/>
                <w:lang w:eastAsia="en-US"/>
              </w:rPr>
              <w:t>Being concerned for the wholeness and wellbeing of students</w:t>
            </w:r>
          </w:p>
          <w:p w14:paraId="001A2DAD" w14:textId="77777777" w:rsidR="00413A92" w:rsidRPr="00923AE0" w:rsidRDefault="00413A92" w:rsidP="00413A92">
            <w:pPr>
              <w:numPr>
                <w:ilvl w:val="0"/>
                <w:numId w:val="11"/>
              </w:numPr>
            </w:pPr>
            <w:r>
              <w:t>Advising and supervising students</w:t>
            </w:r>
          </w:p>
          <w:p w14:paraId="07570876" w14:textId="77777777" w:rsidR="00413A92" w:rsidRDefault="00413A92" w:rsidP="000B7450"/>
        </w:tc>
        <w:tc>
          <w:tcPr>
            <w:tcW w:w="910" w:type="pct"/>
            <w:gridSpan w:val="3"/>
            <w:tcBorders>
              <w:bottom w:val="single" w:sz="4" w:space="0" w:color="auto"/>
            </w:tcBorders>
          </w:tcPr>
          <w:p w14:paraId="30EC5CB4" w14:textId="77777777" w:rsidR="00413A92" w:rsidRDefault="00413A92" w:rsidP="00413A92">
            <w:pPr>
              <w:pStyle w:val="ListParagraph"/>
              <w:widowControl w:val="0"/>
              <w:numPr>
                <w:ilvl w:val="0"/>
                <w:numId w:val="16"/>
              </w:numPr>
              <w:autoSpaceDE w:val="0"/>
              <w:autoSpaceDN w:val="0"/>
              <w:adjustRightInd w:val="0"/>
              <w:spacing w:after="0" w:line="240" w:lineRule="auto"/>
              <w:rPr>
                <w:rFonts w:ascii="7nÎ˛" w:hAnsi="7nÎ˛" w:cs="7nÎ˛"/>
                <w:szCs w:val="20"/>
              </w:rPr>
            </w:pPr>
            <w:r w:rsidRPr="005E5B1B">
              <w:rPr>
                <w:rFonts w:ascii="7nÎ˛" w:hAnsi="7nÎ˛" w:cs="7nÎ˛"/>
                <w:szCs w:val="20"/>
              </w:rPr>
              <w:lastRenderedPageBreak/>
              <w:t>Unit I</w:t>
            </w:r>
          </w:p>
          <w:p w14:paraId="76AD3254" w14:textId="77777777" w:rsidR="00413A92" w:rsidRDefault="00413A92" w:rsidP="00413A92">
            <w:pPr>
              <w:pStyle w:val="ListParagraph"/>
              <w:widowControl w:val="0"/>
              <w:numPr>
                <w:ilvl w:val="0"/>
                <w:numId w:val="16"/>
              </w:numPr>
              <w:autoSpaceDE w:val="0"/>
              <w:autoSpaceDN w:val="0"/>
              <w:adjustRightInd w:val="0"/>
              <w:spacing w:after="0" w:line="240" w:lineRule="auto"/>
              <w:rPr>
                <w:rFonts w:ascii="7nÎ˛" w:hAnsi="7nÎ˛" w:cs="7nÎ˛"/>
                <w:szCs w:val="20"/>
              </w:rPr>
            </w:pPr>
            <w:r>
              <w:rPr>
                <w:rFonts w:ascii="7nÎ˛" w:hAnsi="7nÎ˛" w:cs="7nÎ˛"/>
                <w:szCs w:val="20"/>
              </w:rPr>
              <w:t>Syllabus</w:t>
            </w:r>
          </w:p>
          <w:p w14:paraId="6D70C65F" w14:textId="77777777" w:rsidR="00413A92" w:rsidRPr="00C24770" w:rsidRDefault="00413A92" w:rsidP="00413A92">
            <w:pPr>
              <w:pStyle w:val="ListParagraph"/>
              <w:widowControl w:val="0"/>
              <w:numPr>
                <w:ilvl w:val="0"/>
                <w:numId w:val="16"/>
              </w:numPr>
              <w:autoSpaceDE w:val="0"/>
              <w:autoSpaceDN w:val="0"/>
              <w:adjustRightInd w:val="0"/>
              <w:spacing w:after="0" w:line="240" w:lineRule="auto"/>
              <w:rPr>
                <w:rFonts w:ascii="7nÎ˛" w:hAnsi="7nÎ˛" w:cs="7nÎ˛"/>
                <w:szCs w:val="20"/>
              </w:rPr>
            </w:pPr>
            <w:r w:rsidRPr="00C24770">
              <w:rPr>
                <w:rFonts w:ascii="7nÎ˛" w:hAnsi="7nÎ˛" w:cs="7nÎ˛"/>
                <w:szCs w:val="20"/>
              </w:rPr>
              <w:t>Assignments</w:t>
            </w:r>
          </w:p>
        </w:tc>
        <w:tc>
          <w:tcPr>
            <w:tcW w:w="754" w:type="pct"/>
            <w:gridSpan w:val="2"/>
            <w:tcBorders>
              <w:bottom w:val="single" w:sz="4" w:space="0" w:color="auto"/>
            </w:tcBorders>
          </w:tcPr>
          <w:p w14:paraId="1A772ADE" w14:textId="77777777" w:rsidR="00413A92" w:rsidRDefault="00413A92" w:rsidP="00413A92">
            <w:pPr>
              <w:pStyle w:val="ListParagraph"/>
              <w:numPr>
                <w:ilvl w:val="0"/>
                <w:numId w:val="16"/>
              </w:numPr>
              <w:spacing w:after="0" w:line="240" w:lineRule="auto"/>
            </w:pPr>
            <w:proofErr w:type="spellStart"/>
            <w:r>
              <w:t>SPoTs</w:t>
            </w:r>
            <w:proofErr w:type="spellEnd"/>
          </w:p>
        </w:tc>
        <w:tc>
          <w:tcPr>
            <w:tcW w:w="922" w:type="pct"/>
            <w:gridSpan w:val="2"/>
            <w:tcBorders>
              <w:bottom w:val="single" w:sz="4" w:space="0" w:color="auto"/>
            </w:tcBorders>
          </w:tcPr>
          <w:p w14:paraId="68B43FF7" w14:textId="77777777" w:rsidR="00413A92" w:rsidRDefault="00413A92" w:rsidP="00413A92">
            <w:pPr>
              <w:pStyle w:val="ListParagraph"/>
              <w:numPr>
                <w:ilvl w:val="0"/>
                <w:numId w:val="16"/>
              </w:numPr>
              <w:spacing w:after="0" w:line="240" w:lineRule="auto"/>
            </w:pPr>
            <w:r>
              <w:t>Unit III</w:t>
            </w:r>
          </w:p>
          <w:p w14:paraId="6606E535" w14:textId="77777777" w:rsidR="00413A92" w:rsidRDefault="00413A92" w:rsidP="00413A92">
            <w:pPr>
              <w:pStyle w:val="ListParagraph"/>
              <w:numPr>
                <w:ilvl w:val="0"/>
                <w:numId w:val="16"/>
              </w:numPr>
              <w:spacing w:after="0" w:line="240" w:lineRule="auto"/>
            </w:pPr>
            <w:r>
              <w:t>Observations</w:t>
            </w:r>
          </w:p>
        </w:tc>
      </w:tr>
      <w:tr w:rsidR="00413A92" w:rsidRPr="009B27DB" w14:paraId="77DC419A" w14:textId="77777777" w:rsidTr="000B7450">
        <w:tc>
          <w:tcPr>
            <w:tcW w:w="5000" w:type="pct"/>
            <w:gridSpan w:val="9"/>
            <w:tcBorders>
              <w:bottom w:val="single" w:sz="4" w:space="0" w:color="auto"/>
            </w:tcBorders>
            <w:shd w:val="clear" w:color="auto" w:fill="000000"/>
          </w:tcPr>
          <w:p w14:paraId="18BBCE0B" w14:textId="77777777" w:rsidR="00413A92" w:rsidRPr="009B27DB" w:rsidRDefault="00413A92" w:rsidP="000B7450"/>
        </w:tc>
      </w:tr>
      <w:tr w:rsidR="00413A92" w:rsidRPr="00951796" w14:paraId="1D6F8209" w14:textId="77777777" w:rsidTr="000B7450">
        <w:tc>
          <w:tcPr>
            <w:tcW w:w="5000" w:type="pct"/>
            <w:gridSpan w:val="9"/>
            <w:shd w:val="clear" w:color="auto" w:fill="000000"/>
          </w:tcPr>
          <w:p w14:paraId="57CDA755" w14:textId="77777777" w:rsidR="00413A92" w:rsidRPr="00951796" w:rsidRDefault="00413A92" w:rsidP="000B7450">
            <w:pPr>
              <w:jc w:val="center"/>
              <w:rPr>
                <w:color w:val="FFFFFF" w:themeColor="background1"/>
              </w:rPr>
            </w:pPr>
            <w:r w:rsidRPr="00951796">
              <w:rPr>
                <w:rFonts w:asciiTheme="majorHAnsi" w:hAnsiTheme="majorHAnsi"/>
                <w:b/>
                <w:color w:val="FFFFFF" w:themeColor="background1"/>
                <w:sz w:val="24"/>
              </w:rPr>
              <w:t>Secondary Measures</w:t>
            </w:r>
          </w:p>
          <w:p w14:paraId="0799416C" w14:textId="77777777" w:rsidR="00413A92" w:rsidRPr="00951796" w:rsidRDefault="00413A92" w:rsidP="000B7450">
            <w:pPr>
              <w:rPr>
                <w:color w:val="F2F2F2" w:themeColor="background1" w:themeShade="F2"/>
              </w:rPr>
            </w:pPr>
          </w:p>
        </w:tc>
      </w:tr>
      <w:tr w:rsidR="00413A92" w14:paraId="5AD20FB2" w14:textId="77777777" w:rsidTr="000B7450">
        <w:trPr>
          <w:trHeight w:val="1916"/>
        </w:trPr>
        <w:tc>
          <w:tcPr>
            <w:tcW w:w="5000" w:type="pct"/>
            <w:gridSpan w:val="9"/>
          </w:tcPr>
          <w:p w14:paraId="59DC56C7" w14:textId="77777777" w:rsidR="00413A92" w:rsidRDefault="00413A92" w:rsidP="000B7450">
            <w:pPr>
              <w:rPr>
                <w:b/>
                <w:color w:val="3366FF"/>
              </w:rPr>
            </w:pPr>
          </w:p>
          <w:p w14:paraId="74FA0361" w14:textId="77777777" w:rsidR="00413A92" w:rsidRPr="00402291" w:rsidRDefault="00413A92" w:rsidP="000B7450">
            <w:pPr>
              <w:rPr>
                <w:rFonts w:asciiTheme="majorHAnsi" w:hAnsiTheme="majorHAnsi"/>
                <w:b/>
                <w:sz w:val="22"/>
                <w:szCs w:val="22"/>
              </w:rPr>
            </w:pPr>
            <w:r w:rsidRPr="00402291">
              <w:rPr>
                <w:rFonts w:asciiTheme="majorHAnsi" w:hAnsiTheme="majorHAnsi"/>
                <w:b/>
                <w:sz w:val="22"/>
                <w:szCs w:val="22"/>
              </w:rPr>
              <w:t xml:space="preserve">Measure 5:  Commitment to teaching as </w:t>
            </w:r>
            <w:r>
              <w:rPr>
                <w:rFonts w:asciiTheme="majorHAnsi" w:hAnsiTheme="majorHAnsi"/>
                <w:b/>
                <w:sz w:val="22"/>
                <w:szCs w:val="22"/>
              </w:rPr>
              <w:t>the shared</w:t>
            </w:r>
            <w:r w:rsidRPr="00402291">
              <w:rPr>
                <w:rFonts w:asciiTheme="majorHAnsi" w:hAnsiTheme="majorHAnsi"/>
                <w:b/>
                <w:sz w:val="22"/>
                <w:szCs w:val="22"/>
              </w:rPr>
              <w:t xml:space="preserve"> work</w:t>
            </w:r>
            <w:r>
              <w:rPr>
                <w:rFonts w:asciiTheme="majorHAnsi" w:hAnsiTheme="majorHAnsi"/>
                <w:b/>
                <w:sz w:val="22"/>
                <w:szCs w:val="22"/>
              </w:rPr>
              <w:t xml:space="preserve"> of a university community</w:t>
            </w:r>
          </w:p>
          <w:p w14:paraId="3660A071" w14:textId="77777777" w:rsidR="00413A92" w:rsidRDefault="00413A92" w:rsidP="000B7450"/>
          <w:p w14:paraId="33F7E0CC" w14:textId="77777777" w:rsidR="00413A92" w:rsidRPr="0006385F" w:rsidRDefault="00413A92" w:rsidP="000B7450">
            <w:pPr>
              <w:ind w:left="360"/>
              <w:contextualSpacing/>
              <w:rPr>
                <w:rFonts w:cs="Times New Roman"/>
                <w:szCs w:val="20"/>
              </w:rPr>
            </w:pPr>
            <w:r w:rsidRPr="0006385F">
              <w:rPr>
                <w:rFonts w:cs="Times New Roman"/>
                <w:szCs w:val="20"/>
              </w:rPr>
              <w:t>Elon faculty are committed to an understanding of high-quality teaching as an outcome of the shared work of a university community, rather than only one’s isolated practice. High-quality teaching and learning, therefore, requires active participation in advancing and sustaining a strong university-wide learning environment and a broad community of learners.</w:t>
            </w:r>
          </w:p>
          <w:p w14:paraId="4777D278" w14:textId="77777777" w:rsidR="00413A92" w:rsidRDefault="00413A92" w:rsidP="000B7450">
            <w:pPr>
              <w:ind w:left="360"/>
            </w:pPr>
          </w:p>
        </w:tc>
      </w:tr>
      <w:tr w:rsidR="00413A92" w14:paraId="6DF4F5FA" w14:textId="77777777" w:rsidTr="000B7450">
        <w:tc>
          <w:tcPr>
            <w:tcW w:w="2414" w:type="pct"/>
            <w:gridSpan w:val="2"/>
            <w:tcBorders>
              <w:bottom w:val="nil"/>
            </w:tcBorders>
          </w:tcPr>
          <w:p w14:paraId="47B11228" w14:textId="77777777" w:rsidR="00413A92" w:rsidRPr="00D151BE" w:rsidRDefault="00413A92" w:rsidP="000B7450">
            <w:pPr>
              <w:rPr>
                <w:rFonts w:asciiTheme="majorHAnsi" w:hAnsiTheme="majorHAnsi"/>
                <w:b/>
              </w:rPr>
            </w:pPr>
            <w:r w:rsidRPr="00D151BE">
              <w:rPr>
                <w:rFonts w:asciiTheme="majorHAnsi" w:hAnsiTheme="majorHAnsi"/>
                <w:b/>
              </w:rPr>
              <w:t>Possible Indicators</w:t>
            </w:r>
          </w:p>
        </w:tc>
        <w:tc>
          <w:tcPr>
            <w:tcW w:w="2586" w:type="pct"/>
            <w:gridSpan w:val="7"/>
            <w:tcBorders>
              <w:bottom w:val="nil"/>
            </w:tcBorders>
          </w:tcPr>
          <w:p w14:paraId="6F1250FC" w14:textId="77777777" w:rsidR="00413A92" w:rsidRDefault="00413A92" w:rsidP="000B7450">
            <w:pPr>
              <w:jc w:val="center"/>
              <w:rPr>
                <w:rFonts w:asciiTheme="majorHAnsi" w:hAnsiTheme="majorHAnsi"/>
                <w:b/>
              </w:rPr>
            </w:pPr>
            <w:r w:rsidRPr="00D151BE">
              <w:rPr>
                <w:rFonts w:asciiTheme="majorHAnsi" w:hAnsiTheme="majorHAnsi"/>
                <w:b/>
              </w:rPr>
              <w:t>Sources of Evidence</w:t>
            </w:r>
          </w:p>
          <w:p w14:paraId="2CB9C630" w14:textId="77777777" w:rsidR="00413A92" w:rsidRPr="00D151BE" w:rsidRDefault="00413A92" w:rsidP="000B7450">
            <w:pPr>
              <w:jc w:val="center"/>
              <w:rPr>
                <w:rFonts w:asciiTheme="majorHAnsi" w:hAnsiTheme="majorHAnsi"/>
                <w:b/>
              </w:rPr>
            </w:pPr>
          </w:p>
        </w:tc>
      </w:tr>
      <w:tr w:rsidR="00413A92" w14:paraId="1A83C000" w14:textId="77777777" w:rsidTr="000B7450">
        <w:tc>
          <w:tcPr>
            <w:tcW w:w="2414" w:type="pct"/>
            <w:gridSpan w:val="2"/>
            <w:tcBorders>
              <w:top w:val="nil"/>
            </w:tcBorders>
          </w:tcPr>
          <w:p w14:paraId="698D7027" w14:textId="77777777" w:rsidR="00413A92" w:rsidRPr="00D151BE" w:rsidRDefault="00413A92" w:rsidP="000B7450">
            <w:pPr>
              <w:rPr>
                <w:rFonts w:asciiTheme="majorHAnsi" w:hAnsiTheme="majorHAnsi"/>
                <w:b/>
              </w:rPr>
            </w:pPr>
          </w:p>
        </w:tc>
        <w:tc>
          <w:tcPr>
            <w:tcW w:w="861" w:type="pct"/>
            <w:gridSpan w:val="2"/>
            <w:tcBorders>
              <w:top w:val="nil"/>
            </w:tcBorders>
          </w:tcPr>
          <w:p w14:paraId="72147D94" w14:textId="77777777" w:rsidR="00413A92" w:rsidRPr="00D151BE" w:rsidRDefault="00413A92" w:rsidP="000B7450">
            <w:pPr>
              <w:jc w:val="center"/>
              <w:rPr>
                <w:rFonts w:asciiTheme="majorHAnsi" w:hAnsiTheme="majorHAnsi"/>
                <w:b/>
              </w:rPr>
            </w:pPr>
            <w:r>
              <w:rPr>
                <w:rFonts w:asciiTheme="majorHAnsi" w:hAnsiTheme="majorHAnsi"/>
                <w:b/>
              </w:rPr>
              <w:t>Self</w:t>
            </w:r>
          </w:p>
        </w:tc>
        <w:tc>
          <w:tcPr>
            <w:tcW w:w="862" w:type="pct"/>
            <w:gridSpan w:val="4"/>
            <w:tcBorders>
              <w:top w:val="nil"/>
            </w:tcBorders>
          </w:tcPr>
          <w:p w14:paraId="172288CF" w14:textId="77777777" w:rsidR="00413A92" w:rsidRPr="00D151BE" w:rsidRDefault="00413A92" w:rsidP="000B7450">
            <w:pPr>
              <w:jc w:val="center"/>
              <w:rPr>
                <w:rFonts w:asciiTheme="majorHAnsi" w:hAnsiTheme="majorHAnsi"/>
                <w:b/>
              </w:rPr>
            </w:pPr>
            <w:r>
              <w:rPr>
                <w:rFonts w:asciiTheme="majorHAnsi" w:hAnsiTheme="majorHAnsi"/>
                <w:b/>
              </w:rPr>
              <w:t>Students</w:t>
            </w:r>
          </w:p>
        </w:tc>
        <w:tc>
          <w:tcPr>
            <w:tcW w:w="863" w:type="pct"/>
            <w:tcBorders>
              <w:top w:val="nil"/>
            </w:tcBorders>
          </w:tcPr>
          <w:p w14:paraId="22E7325C" w14:textId="77777777" w:rsidR="00413A92" w:rsidRPr="00D151BE" w:rsidRDefault="00413A92" w:rsidP="000B7450">
            <w:pPr>
              <w:jc w:val="center"/>
              <w:rPr>
                <w:rFonts w:asciiTheme="majorHAnsi" w:hAnsiTheme="majorHAnsi"/>
                <w:b/>
              </w:rPr>
            </w:pPr>
            <w:r>
              <w:rPr>
                <w:rFonts w:asciiTheme="majorHAnsi" w:hAnsiTheme="majorHAnsi"/>
                <w:b/>
              </w:rPr>
              <w:t>Peers</w:t>
            </w:r>
          </w:p>
        </w:tc>
      </w:tr>
      <w:tr w:rsidR="00413A92" w14:paraId="4681F63E" w14:textId="77777777" w:rsidTr="000B7450">
        <w:tc>
          <w:tcPr>
            <w:tcW w:w="2414" w:type="pct"/>
            <w:gridSpan w:val="2"/>
            <w:tcBorders>
              <w:bottom w:val="single" w:sz="4" w:space="0" w:color="auto"/>
            </w:tcBorders>
          </w:tcPr>
          <w:p w14:paraId="4B698BE7" w14:textId="77777777" w:rsidR="00413A92" w:rsidRPr="00D151BE" w:rsidRDefault="00413A92" w:rsidP="00413A92">
            <w:pPr>
              <w:pStyle w:val="ListParagraph"/>
              <w:numPr>
                <w:ilvl w:val="0"/>
                <w:numId w:val="14"/>
              </w:numPr>
              <w:spacing w:after="0" w:line="240" w:lineRule="auto"/>
              <w:rPr>
                <w:rFonts w:eastAsia="Times New Roman" w:cs="Times New Roman"/>
                <w:szCs w:val="20"/>
              </w:rPr>
            </w:pPr>
            <w:r w:rsidRPr="00D151BE">
              <w:rPr>
                <w:rFonts w:eastAsia="Times New Roman" w:cs="Times New Roman"/>
                <w:szCs w:val="20"/>
                <w:shd w:val="clear" w:color="auto" w:fill="FFFFFF"/>
              </w:rPr>
              <w:t>mentoring of students</w:t>
            </w:r>
          </w:p>
          <w:p w14:paraId="2B28F6D5" w14:textId="77777777" w:rsidR="00413A92" w:rsidRPr="00B04E48" w:rsidRDefault="00413A92" w:rsidP="00413A92">
            <w:pPr>
              <w:pStyle w:val="ListParagraph"/>
              <w:numPr>
                <w:ilvl w:val="0"/>
                <w:numId w:val="14"/>
              </w:numPr>
              <w:spacing w:after="0" w:line="240" w:lineRule="auto"/>
              <w:rPr>
                <w:rFonts w:eastAsia="Times New Roman" w:cs="Times New Roman"/>
                <w:szCs w:val="20"/>
              </w:rPr>
            </w:pPr>
            <w:r w:rsidRPr="00D151BE">
              <w:rPr>
                <w:rFonts w:eastAsia="Times New Roman" w:cs="Times New Roman"/>
                <w:szCs w:val="20"/>
                <w:shd w:val="clear" w:color="auto" w:fill="FFFFFF"/>
              </w:rPr>
              <w:t>sharing of personal and professional growth with others</w:t>
            </w:r>
          </w:p>
          <w:p w14:paraId="5D922205" w14:textId="77777777" w:rsidR="00413A92" w:rsidRDefault="00413A92" w:rsidP="000B7450"/>
        </w:tc>
        <w:tc>
          <w:tcPr>
            <w:tcW w:w="861" w:type="pct"/>
            <w:gridSpan w:val="2"/>
            <w:tcBorders>
              <w:bottom w:val="single" w:sz="4" w:space="0" w:color="auto"/>
            </w:tcBorders>
          </w:tcPr>
          <w:p w14:paraId="4A2FEF16" w14:textId="77777777" w:rsidR="00413A92" w:rsidRDefault="00413A92" w:rsidP="00413A92">
            <w:pPr>
              <w:pStyle w:val="ListParagraph"/>
              <w:numPr>
                <w:ilvl w:val="0"/>
                <w:numId w:val="14"/>
              </w:numPr>
              <w:spacing w:after="0" w:line="240" w:lineRule="auto"/>
              <w:ind w:left="314"/>
            </w:pPr>
            <w:r>
              <w:t>Unit I</w:t>
            </w:r>
          </w:p>
          <w:p w14:paraId="2BF3ED98" w14:textId="77777777" w:rsidR="00413A92" w:rsidRDefault="00413A92" w:rsidP="00413A92">
            <w:pPr>
              <w:pStyle w:val="ListParagraph"/>
              <w:numPr>
                <w:ilvl w:val="0"/>
                <w:numId w:val="14"/>
              </w:numPr>
              <w:spacing w:after="0" w:line="240" w:lineRule="auto"/>
              <w:ind w:left="314"/>
            </w:pPr>
            <w:r>
              <w:t>Curricula</w:t>
            </w:r>
          </w:p>
        </w:tc>
        <w:tc>
          <w:tcPr>
            <w:tcW w:w="862" w:type="pct"/>
            <w:gridSpan w:val="4"/>
            <w:tcBorders>
              <w:bottom w:val="single" w:sz="4" w:space="0" w:color="auto"/>
            </w:tcBorders>
          </w:tcPr>
          <w:p w14:paraId="47EEA873" w14:textId="77777777" w:rsidR="00413A92" w:rsidRDefault="00413A92" w:rsidP="00413A92">
            <w:pPr>
              <w:pStyle w:val="ListParagraph"/>
              <w:numPr>
                <w:ilvl w:val="0"/>
                <w:numId w:val="14"/>
              </w:numPr>
              <w:spacing w:after="0" w:line="240" w:lineRule="auto"/>
              <w:ind w:left="314"/>
            </w:pPr>
            <w:r>
              <w:t>Letters</w:t>
            </w:r>
          </w:p>
        </w:tc>
        <w:tc>
          <w:tcPr>
            <w:tcW w:w="863" w:type="pct"/>
            <w:tcBorders>
              <w:bottom w:val="single" w:sz="4" w:space="0" w:color="auto"/>
            </w:tcBorders>
          </w:tcPr>
          <w:p w14:paraId="29C12184" w14:textId="77777777" w:rsidR="00413A92" w:rsidRDefault="00413A92" w:rsidP="00413A92">
            <w:pPr>
              <w:pStyle w:val="ListParagraph"/>
              <w:numPr>
                <w:ilvl w:val="0"/>
                <w:numId w:val="14"/>
              </w:numPr>
              <w:spacing w:after="0" w:line="240" w:lineRule="auto"/>
              <w:ind w:left="321"/>
            </w:pPr>
            <w:r>
              <w:t>Unit III</w:t>
            </w:r>
          </w:p>
          <w:p w14:paraId="712F8158" w14:textId="77777777" w:rsidR="00413A92" w:rsidRDefault="00413A92" w:rsidP="00413A92">
            <w:pPr>
              <w:pStyle w:val="ListParagraph"/>
              <w:numPr>
                <w:ilvl w:val="0"/>
                <w:numId w:val="14"/>
              </w:numPr>
              <w:spacing w:after="0" w:line="240" w:lineRule="auto"/>
              <w:ind w:left="321"/>
            </w:pPr>
            <w:r>
              <w:t>Letters</w:t>
            </w:r>
          </w:p>
        </w:tc>
      </w:tr>
      <w:tr w:rsidR="00413A92" w14:paraId="091FA19F" w14:textId="77777777" w:rsidTr="000B7450">
        <w:trPr>
          <w:trHeight w:val="1439"/>
        </w:trPr>
        <w:tc>
          <w:tcPr>
            <w:tcW w:w="5000" w:type="pct"/>
            <w:gridSpan w:val="9"/>
          </w:tcPr>
          <w:p w14:paraId="02D08A4F" w14:textId="77777777" w:rsidR="00413A92" w:rsidRDefault="00413A92" w:rsidP="000B7450">
            <w:pPr>
              <w:rPr>
                <w:b/>
                <w:color w:val="3366FF"/>
              </w:rPr>
            </w:pPr>
          </w:p>
          <w:p w14:paraId="1556ADC0" w14:textId="77777777" w:rsidR="00413A92" w:rsidRPr="00402291" w:rsidRDefault="00413A92" w:rsidP="000B7450">
            <w:pPr>
              <w:rPr>
                <w:rFonts w:asciiTheme="majorHAnsi" w:hAnsiTheme="majorHAnsi"/>
                <w:b/>
                <w:sz w:val="22"/>
                <w:szCs w:val="22"/>
              </w:rPr>
            </w:pPr>
            <w:r w:rsidRPr="00402291">
              <w:rPr>
                <w:rFonts w:asciiTheme="majorHAnsi" w:hAnsiTheme="majorHAnsi"/>
                <w:b/>
                <w:sz w:val="22"/>
                <w:szCs w:val="22"/>
              </w:rPr>
              <w:t>Measure 6:  Commitment to enhancing a strong intellectual environment</w:t>
            </w:r>
          </w:p>
          <w:p w14:paraId="3954694F" w14:textId="77777777" w:rsidR="00413A92" w:rsidRDefault="00413A92" w:rsidP="000B7450"/>
          <w:p w14:paraId="7658BBE9" w14:textId="77777777" w:rsidR="00413A92" w:rsidRPr="0006385F" w:rsidRDefault="00413A92" w:rsidP="000B7450">
            <w:pPr>
              <w:ind w:left="360"/>
              <w:contextualSpacing/>
              <w:rPr>
                <w:rFonts w:cs="Times New Roman"/>
                <w:b/>
                <w:szCs w:val="20"/>
              </w:rPr>
            </w:pPr>
            <w:r w:rsidRPr="0006385F">
              <w:rPr>
                <w:rFonts w:cs="Times New Roman"/>
                <w:szCs w:val="20"/>
              </w:rPr>
              <w:t>Elon faculty are committed to participating in and advancing an environment driven by curiosity, guided by careful, thoughtful, rigorous inquiry, and dedicated to learning.</w:t>
            </w:r>
          </w:p>
          <w:p w14:paraId="452DCD09" w14:textId="77777777" w:rsidR="00413A92" w:rsidRDefault="00413A92" w:rsidP="000B7450">
            <w:pPr>
              <w:ind w:left="360"/>
            </w:pPr>
          </w:p>
        </w:tc>
      </w:tr>
      <w:tr w:rsidR="00413A92" w14:paraId="62F94DE5" w14:textId="77777777" w:rsidTr="000B7450">
        <w:tc>
          <w:tcPr>
            <w:tcW w:w="2414" w:type="pct"/>
            <w:gridSpan w:val="2"/>
            <w:tcBorders>
              <w:bottom w:val="nil"/>
            </w:tcBorders>
          </w:tcPr>
          <w:p w14:paraId="1D8811F4" w14:textId="77777777" w:rsidR="00413A92" w:rsidRPr="00D151BE" w:rsidRDefault="00413A92" w:rsidP="000B7450">
            <w:pPr>
              <w:rPr>
                <w:rFonts w:asciiTheme="majorHAnsi" w:hAnsiTheme="majorHAnsi"/>
                <w:b/>
              </w:rPr>
            </w:pPr>
            <w:r w:rsidRPr="00D151BE">
              <w:rPr>
                <w:rFonts w:asciiTheme="majorHAnsi" w:hAnsiTheme="majorHAnsi"/>
                <w:b/>
              </w:rPr>
              <w:t>Possible Indicators</w:t>
            </w:r>
          </w:p>
        </w:tc>
        <w:tc>
          <w:tcPr>
            <w:tcW w:w="2586" w:type="pct"/>
            <w:gridSpan w:val="7"/>
            <w:tcBorders>
              <w:bottom w:val="nil"/>
            </w:tcBorders>
          </w:tcPr>
          <w:p w14:paraId="0825722B" w14:textId="77777777" w:rsidR="00413A92" w:rsidRDefault="00413A92" w:rsidP="000B7450">
            <w:pPr>
              <w:jc w:val="center"/>
              <w:rPr>
                <w:rFonts w:asciiTheme="majorHAnsi" w:hAnsiTheme="majorHAnsi"/>
                <w:b/>
              </w:rPr>
            </w:pPr>
            <w:r w:rsidRPr="00D151BE">
              <w:rPr>
                <w:rFonts w:asciiTheme="majorHAnsi" w:hAnsiTheme="majorHAnsi"/>
                <w:b/>
              </w:rPr>
              <w:t>Sources of Evidence</w:t>
            </w:r>
          </w:p>
          <w:p w14:paraId="1F999BC3" w14:textId="77777777" w:rsidR="00413A92" w:rsidRPr="00D151BE" w:rsidRDefault="00413A92" w:rsidP="000B7450">
            <w:pPr>
              <w:jc w:val="center"/>
              <w:rPr>
                <w:rFonts w:asciiTheme="majorHAnsi" w:hAnsiTheme="majorHAnsi"/>
                <w:b/>
              </w:rPr>
            </w:pPr>
          </w:p>
        </w:tc>
      </w:tr>
      <w:tr w:rsidR="00413A92" w14:paraId="0AC62BCB" w14:textId="77777777" w:rsidTr="000B7450">
        <w:tc>
          <w:tcPr>
            <w:tcW w:w="2414" w:type="pct"/>
            <w:gridSpan w:val="2"/>
            <w:tcBorders>
              <w:top w:val="nil"/>
            </w:tcBorders>
          </w:tcPr>
          <w:p w14:paraId="112E4407" w14:textId="77777777" w:rsidR="00413A92" w:rsidRPr="00D151BE" w:rsidRDefault="00413A92" w:rsidP="000B7450">
            <w:pPr>
              <w:rPr>
                <w:rFonts w:asciiTheme="majorHAnsi" w:hAnsiTheme="majorHAnsi"/>
                <w:b/>
              </w:rPr>
            </w:pPr>
          </w:p>
        </w:tc>
        <w:tc>
          <w:tcPr>
            <w:tcW w:w="861" w:type="pct"/>
            <w:gridSpan w:val="2"/>
            <w:tcBorders>
              <w:top w:val="nil"/>
            </w:tcBorders>
          </w:tcPr>
          <w:p w14:paraId="36F4815B" w14:textId="77777777" w:rsidR="00413A92" w:rsidRPr="00C24770" w:rsidRDefault="00413A92" w:rsidP="000B7450">
            <w:pPr>
              <w:widowControl w:val="0"/>
              <w:autoSpaceDE w:val="0"/>
              <w:autoSpaceDN w:val="0"/>
              <w:adjustRightInd w:val="0"/>
              <w:jc w:val="center"/>
              <w:rPr>
                <w:rFonts w:asciiTheme="majorHAnsi" w:hAnsiTheme="majorHAnsi" w:cs="7nÎ˛"/>
                <w:b/>
                <w:szCs w:val="20"/>
              </w:rPr>
            </w:pPr>
            <w:r w:rsidRPr="00C24770">
              <w:rPr>
                <w:rFonts w:asciiTheme="majorHAnsi" w:hAnsiTheme="majorHAnsi" w:cs="7nÎ˛"/>
                <w:b/>
                <w:szCs w:val="20"/>
              </w:rPr>
              <w:t>Self</w:t>
            </w:r>
          </w:p>
        </w:tc>
        <w:tc>
          <w:tcPr>
            <w:tcW w:w="862" w:type="pct"/>
            <w:gridSpan w:val="4"/>
            <w:tcBorders>
              <w:top w:val="nil"/>
            </w:tcBorders>
          </w:tcPr>
          <w:p w14:paraId="5D135E77" w14:textId="77777777" w:rsidR="00413A92" w:rsidRPr="00C24770" w:rsidRDefault="00413A92" w:rsidP="000B7450">
            <w:pPr>
              <w:widowControl w:val="0"/>
              <w:autoSpaceDE w:val="0"/>
              <w:autoSpaceDN w:val="0"/>
              <w:adjustRightInd w:val="0"/>
              <w:jc w:val="center"/>
              <w:rPr>
                <w:rFonts w:asciiTheme="majorHAnsi" w:hAnsiTheme="majorHAnsi" w:cs="7nÎ˛"/>
                <w:b/>
                <w:szCs w:val="20"/>
              </w:rPr>
            </w:pPr>
            <w:r w:rsidRPr="00C24770">
              <w:rPr>
                <w:rFonts w:asciiTheme="majorHAnsi" w:hAnsiTheme="majorHAnsi" w:cs="7nÎ˛"/>
                <w:b/>
                <w:szCs w:val="20"/>
              </w:rPr>
              <w:t>Students</w:t>
            </w:r>
          </w:p>
        </w:tc>
        <w:tc>
          <w:tcPr>
            <w:tcW w:w="863" w:type="pct"/>
            <w:tcBorders>
              <w:top w:val="nil"/>
            </w:tcBorders>
          </w:tcPr>
          <w:p w14:paraId="4B1BF656" w14:textId="77777777" w:rsidR="00413A92" w:rsidRPr="00C24770" w:rsidRDefault="00413A92" w:rsidP="000B7450">
            <w:pPr>
              <w:jc w:val="center"/>
              <w:rPr>
                <w:rFonts w:asciiTheme="majorHAnsi" w:hAnsiTheme="majorHAnsi"/>
                <w:b/>
              </w:rPr>
            </w:pPr>
            <w:r w:rsidRPr="00C24770">
              <w:rPr>
                <w:rFonts w:asciiTheme="majorHAnsi" w:hAnsiTheme="majorHAnsi"/>
                <w:b/>
              </w:rPr>
              <w:t>Peers</w:t>
            </w:r>
          </w:p>
        </w:tc>
      </w:tr>
      <w:tr w:rsidR="00413A92" w14:paraId="219863A2" w14:textId="77777777" w:rsidTr="000B7450">
        <w:tc>
          <w:tcPr>
            <w:tcW w:w="2414" w:type="pct"/>
            <w:gridSpan w:val="2"/>
          </w:tcPr>
          <w:p w14:paraId="6F8AC975" w14:textId="77777777" w:rsidR="00413A92" w:rsidRPr="00B04E48" w:rsidRDefault="00413A92" w:rsidP="00413A92">
            <w:pPr>
              <w:numPr>
                <w:ilvl w:val="0"/>
                <w:numId w:val="9"/>
              </w:numPr>
              <w:rPr>
                <w:rFonts w:cs="Times New Roman"/>
                <w:szCs w:val="20"/>
              </w:rPr>
            </w:pPr>
            <w:r w:rsidRPr="00B04E48">
              <w:rPr>
                <w:rFonts w:cs="Times New Roman"/>
                <w:szCs w:val="20"/>
              </w:rPr>
              <w:t>Facilitating intellectual opportunities for students</w:t>
            </w:r>
          </w:p>
          <w:p w14:paraId="3A5F8EFB" w14:textId="77777777" w:rsidR="00413A92" w:rsidRPr="00B04E48" w:rsidRDefault="00413A92" w:rsidP="00413A92">
            <w:pPr>
              <w:numPr>
                <w:ilvl w:val="0"/>
                <w:numId w:val="9"/>
              </w:numPr>
              <w:textAlignment w:val="baseline"/>
              <w:rPr>
                <w:rFonts w:eastAsia="Times New Roman" w:cs="Times New Roman"/>
                <w:szCs w:val="20"/>
                <w:lang w:eastAsia="en-US"/>
              </w:rPr>
            </w:pPr>
            <w:r w:rsidRPr="00B04E48">
              <w:rPr>
                <w:rFonts w:eastAsia="Times New Roman" w:cs="Times New Roman"/>
                <w:szCs w:val="20"/>
                <w:lang w:eastAsia="en-US"/>
              </w:rPr>
              <w:t>Extending learning beyond the classroom</w:t>
            </w:r>
          </w:p>
          <w:p w14:paraId="7EFD0839" w14:textId="77777777" w:rsidR="00413A92" w:rsidRPr="00D151BE" w:rsidRDefault="00413A92" w:rsidP="00413A92">
            <w:pPr>
              <w:numPr>
                <w:ilvl w:val="0"/>
                <w:numId w:val="9"/>
              </w:numPr>
            </w:pPr>
            <w:r>
              <w:rPr>
                <w:rFonts w:cs="Times New Roman"/>
                <w:szCs w:val="20"/>
              </w:rPr>
              <w:t>P</w:t>
            </w:r>
            <w:r w:rsidRPr="00B04E48">
              <w:rPr>
                <w:rFonts w:cs="Times New Roman"/>
                <w:szCs w:val="20"/>
              </w:rPr>
              <w:t>resentation of intellectual and moral concerns within the University community</w:t>
            </w:r>
          </w:p>
          <w:p w14:paraId="4C317921" w14:textId="77777777" w:rsidR="00413A92" w:rsidRDefault="00413A92" w:rsidP="000B7450"/>
        </w:tc>
        <w:tc>
          <w:tcPr>
            <w:tcW w:w="861" w:type="pct"/>
            <w:gridSpan w:val="2"/>
          </w:tcPr>
          <w:p w14:paraId="2100BBBC" w14:textId="77777777" w:rsidR="00413A92" w:rsidRDefault="00413A92" w:rsidP="00413A92">
            <w:pPr>
              <w:pStyle w:val="ListParagraph"/>
              <w:numPr>
                <w:ilvl w:val="0"/>
                <w:numId w:val="17"/>
              </w:numPr>
              <w:spacing w:after="0" w:line="240" w:lineRule="auto"/>
            </w:pPr>
            <w:r>
              <w:t>Unit I</w:t>
            </w:r>
          </w:p>
          <w:p w14:paraId="342EDF7C" w14:textId="77777777" w:rsidR="00413A92" w:rsidRDefault="00413A92" w:rsidP="00413A92">
            <w:pPr>
              <w:pStyle w:val="ListParagraph"/>
              <w:numPr>
                <w:ilvl w:val="0"/>
                <w:numId w:val="17"/>
              </w:numPr>
              <w:spacing w:after="0" w:line="240" w:lineRule="auto"/>
            </w:pPr>
            <w:r>
              <w:t>Grants</w:t>
            </w:r>
          </w:p>
        </w:tc>
        <w:tc>
          <w:tcPr>
            <w:tcW w:w="862" w:type="pct"/>
            <w:gridSpan w:val="4"/>
          </w:tcPr>
          <w:p w14:paraId="054056C4" w14:textId="77777777" w:rsidR="00413A92" w:rsidRDefault="00413A92" w:rsidP="00413A92">
            <w:pPr>
              <w:pStyle w:val="ListParagraph"/>
              <w:numPr>
                <w:ilvl w:val="0"/>
                <w:numId w:val="17"/>
              </w:numPr>
              <w:spacing w:after="0" w:line="240" w:lineRule="auto"/>
            </w:pPr>
            <w:r>
              <w:t>Letters</w:t>
            </w:r>
          </w:p>
        </w:tc>
        <w:tc>
          <w:tcPr>
            <w:tcW w:w="863" w:type="pct"/>
          </w:tcPr>
          <w:p w14:paraId="104D51F5" w14:textId="77777777" w:rsidR="00413A92" w:rsidRDefault="00413A92" w:rsidP="00413A92">
            <w:pPr>
              <w:pStyle w:val="ListParagraph"/>
              <w:numPr>
                <w:ilvl w:val="0"/>
                <w:numId w:val="17"/>
              </w:numPr>
              <w:spacing w:after="0" w:line="240" w:lineRule="auto"/>
            </w:pPr>
            <w:r>
              <w:t>Unit III</w:t>
            </w:r>
          </w:p>
          <w:p w14:paraId="014DD2B0" w14:textId="77777777" w:rsidR="00413A92" w:rsidRDefault="00413A92" w:rsidP="00413A92">
            <w:pPr>
              <w:pStyle w:val="ListParagraph"/>
              <w:numPr>
                <w:ilvl w:val="0"/>
                <w:numId w:val="17"/>
              </w:numPr>
              <w:spacing w:after="0" w:line="240" w:lineRule="auto"/>
            </w:pPr>
            <w:r>
              <w:t>Letters</w:t>
            </w:r>
          </w:p>
        </w:tc>
      </w:tr>
    </w:tbl>
    <w:p w14:paraId="6E331272" w14:textId="77777777" w:rsidR="00413A92" w:rsidRDefault="00413A92" w:rsidP="00413A92"/>
    <w:p w14:paraId="04EC7D33" w14:textId="0F121BC3" w:rsidR="0027441B" w:rsidRPr="00413A92" w:rsidRDefault="0027441B" w:rsidP="00413A92">
      <w:pPr>
        <w:jc w:val="both"/>
        <w:rPr>
          <w:rFonts w:cs="Times New Roman"/>
          <w:szCs w:val="20"/>
        </w:rPr>
      </w:pPr>
    </w:p>
    <w:sectPr w:rsidR="0027441B" w:rsidRPr="00413A92" w:rsidSect="001A1FF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0C10F" w14:textId="77777777" w:rsidR="001C4B9A" w:rsidRDefault="001C4B9A" w:rsidP="00375FB8">
      <w:r>
        <w:separator/>
      </w:r>
    </w:p>
  </w:endnote>
  <w:endnote w:type="continuationSeparator" w:id="0">
    <w:p w14:paraId="260CFC9D" w14:textId="77777777" w:rsidR="001C4B9A" w:rsidRDefault="001C4B9A" w:rsidP="0037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7nÎ˛">
    <w:altName w:val="Times New Roman"/>
    <w:panose1 w:val="020B0604020202020204"/>
    <w:charset w:val="4D"/>
    <w:family w:val="auto"/>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694872"/>
      <w:docPartObj>
        <w:docPartGallery w:val="Page Numbers (Bottom of Page)"/>
        <w:docPartUnique/>
      </w:docPartObj>
    </w:sdtPr>
    <w:sdtContent>
      <w:p w14:paraId="75687566" w14:textId="12E4644C" w:rsidR="00375FB8" w:rsidRDefault="00375FB8" w:rsidP="000B0E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1A1FF1">
          <w:rPr>
            <w:rStyle w:val="PageNumber"/>
          </w:rPr>
          <w:fldChar w:fldCharType="separate"/>
        </w:r>
        <w:r w:rsidR="001A1FF1">
          <w:rPr>
            <w:rStyle w:val="PageNumber"/>
            <w:noProof/>
          </w:rPr>
          <w:t>1</w:t>
        </w:r>
        <w:r>
          <w:rPr>
            <w:rStyle w:val="PageNumber"/>
          </w:rPr>
          <w:fldChar w:fldCharType="end"/>
        </w:r>
      </w:p>
    </w:sdtContent>
  </w:sdt>
  <w:p w14:paraId="4B82D66A" w14:textId="77777777" w:rsidR="00375FB8" w:rsidRDefault="00375FB8" w:rsidP="00375F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6403247"/>
      <w:docPartObj>
        <w:docPartGallery w:val="Page Numbers (Bottom of Page)"/>
        <w:docPartUnique/>
      </w:docPartObj>
    </w:sdtPr>
    <w:sdtContent>
      <w:p w14:paraId="449D5B44" w14:textId="2CDEFA9B" w:rsidR="00375FB8" w:rsidRDefault="00375FB8" w:rsidP="000B0E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1DA222" w14:textId="669632A6" w:rsidR="001A1FF1" w:rsidRPr="001A1FF1" w:rsidRDefault="001A1FF1" w:rsidP="001A1FF1">
    <w:pPr>
      <w:tabs>
        <w:tab w:val="left" w:pos="4680"/>
      </w:tabs>
      <w:rPr>
        <w:rFonts w:ascii="Garamond" w:hAnsi="Garamond" w:cstheme="majorHAnsi"/>
        <w:i/>
        <w:iCs/>
        <w:szCs w:val="20"/>
      </w:rPr>
    </w:pPr>
    <w:r>
      <w:rPr>
        <w:rFonts w:ascii="Garamond" w:hAnsi="Garamond" w:cstheme="majorHAnsi"/>
        <w:i/>
        <w:iCs/>
        <w:szCs w:val="20"/>
      </w:rPr>
      <w:tab/>
    </w:r>
  </w:p>
  <w:p w14:paraId="0851C91F" w14:textId="2D9A5578" w:rsidR="00375FB8" w:rsidRDefault="00375FB8" w:rsidP="00375FB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CC98" w14:textId="36951393" w:rsidR="001A1FF1" w:rsidRPr="001A1FF1" w:rsidRDefault="001A1FF1" w:rsidP="001A1FF1">
    <w:pPr>
      <w:rPr>
        <w:rFonts w:ascii="Garamond" w:hAnsi="Garamond" w:cstheme="majorHAnsi"/>
        <w:i/>
        <w:iCs/>
        <w:szCs w:val="20"/>
      </w:rPr>
    </w:pPr>
    <w:r>
      <w:rPr>
        <w:rFonts w:ascii="Garamond" w:hAnsi="Garamond"/>
        <w:i/>
        <w:iCs/>
        <w:szCs w:val="20"/>
      </w:rPr>
      <w:t xml:space="preserve">* </w:t>
    </w:r>
    <w:r w:rsidRPr="001A1FF1">
      <w:rPr>
        <w:rFonts w:ascii="Garamond" w:hAnsi="Garamond"/>
        <w:i/>
        <w:iCs/>
        <w:szCs w:val="20"/>
      </w:rPr>
      <w:t xml:space="preserve">Developed by the </w:t>
    </w:r>
    <w:r w:rsidRPr="001A1FF1">
      <w:rPr>
        <w:rFonts w:ascii="Garamond" w:hAnsi="Garamond" w:cstheme="majorHAnsi"/>
        <w:i/>
        <w:iCs/>
        <w:szCs w:val="20"/>
      </w:rPr>
      <w:t>High-quality Teaching Working Group in 2018-2019; approved by Academic Council</w:t>
    </w:r>
    <w:r>
      <w:rPr>
        <w:rFonts w:ascii="Garamond" w:hAnsi="Garamond" w:cstheme="majorHAnsi"/>
        <w:i/>
        <w:iCs/>
        <w:szCs w:val="20"/>
      </w:rPr>
      <w:t xml:space="preserve"> </w:t>
    </w:r>
    <w:r w:rsidRPr="001A1FF1">
      <w:rPr>
        <w:rFonts w:ascii="Garamond" w:hAnsi="Garamond" w:cstheme="majorHAnsi"/>
        <w:i/>
        <w:iCs/>
        <w:szCs w:val="20"/>
      </w:rPr>
      <w:t>to reference in the Handbook as a resource document in spring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FD29" w14:textId="77777777" w:rsidR="001C4B9A" w:rsidRDefault="001C4B9A" w:rsidP="00375FB8">
      <w:r>
        <w:separator/>
      </w:r>
    </w:p>
  </w:footnote>
  <w:footnote w:type="continuationSeparator" w:id="0">
    <w:p w14:paraId="27DFA9BF" w14:textId="77777777" w:rsidR="001C4B9A" w:rsidRDefault="001C4B9A" w:rsidP="00375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620C" w14:textId="77777777" w:rsidR="001A1FF1" w:rsidRDefault="001A1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36B8" w14:textId="77777777" w:rsidR="001A1FF1" w:rsidRDefault="001A1F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13CA" w14:textId="77777777" w:rsidR="001A1FF1" w:rsidRDefault="001A1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941"/>
    <w:multiLevelType w:val="hybridMultilevel"/>
    <w:tmpl w:val="3B1C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21959"/>
    <w:multiLevelType w:val="hybridMultilevel"/>
    <w:tmpl w:val="BE7AD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CF0C61"/>
    <w:multiLevelType w:val="hybridMultilevel"/>
    <w:tmpl w:val="1C28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16022"/>
    <w:multiLevelType w:val="hybridMultilevel"/>
    <w:tmpl w:val="D318F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5653F3"/>
    <w:multiLevelType w:val="hybridMultilevel"/>
    <w:tmpl w:val="50064936"/>
    <w:lvl w:ilvl="0" w:tplc="235A7D86">
      <w:start w:val="1"/>
      <w:numFmt w:val="decimal"/>
      <w:lvlText w:val="%1."/>
      <w:lvlJc w:val="left"/>
      <w:pPr>
        <w:ind w:left="720" w:hanging="360"/>
      </w:pPr>
      <w:rPr>
        <w:rFonts w:ascii="Times New Roman" w:hAnsi="Times New Roman" w:cs="Times New Roman" w:hint="default"/>
        <w:color w:val="auto"/>
        <w:sz w:val="24"/>
        <w:szCs w:val="24"/>
      </w:rPr>
    </w:lvl>
    <w:lvl w:ilvl="1" w:tplc="4836D58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41C27"/>
    <w:multiLevelType w:val="multilevel"/>
    <w:tmpl w:val="6FBC1F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35553E2"/>
    <w:multiLevelType w:val="multilevel"/>
    <w:tmpl w:val="B5760E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E453F2E"/>
    <w:multiLevelType w:val="multilevel"/>
    <w:tmpl w:val="02CA45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E5938C9"/>
    <w:multiLevelType w:val="hybridMultilevel"/>
    <w:tmpl w:val="6150946A"/>
    <w:lvl w:ilvl="0" w:tplc="04090017">
      <w:start w:val="1"/>
      <w:numFmt w:val="lowerLetter"/>
      <w:lvlText w:val="%1)"/>
      <w:lvlJc w:val="left"/>
      <w:pPr>
        <w:ind w:left="1799" w:hanging="360"/>
      </w:pPr>
    </w:lvl>
    <w:lvl w:ilvl="1" w:tplc="FFFFFFFF" w:tentative="1">
      <w:start w:val="1"/>
      <w:numFmt w:val="lowerLetter"/>
      <w:lvlText w:val="%2."/>
      <w:lvlJc w:val="left"/>
      <w:pPr>
        <w:ind w:left="2519" w:hanging="360"/>
      </w:pPr>
    </w:lvl>
    <w:lvl w:ilvl="2" w:tplc="FFFFFFFF" w:tentative="1">
      <w:start w:val="1"/>
      <w:numFmt w:val="lowerRoman"/>
      <w:lvlText w:val="%3."/>
      <w:lvlJc w:val="right"/>
      <w:pPr>
        <w:ind w:left="3239" w:hanging="180"/>
      </w:pPr>
    </w:lvl>
    <w:lvl w:ilvl="3" w:tplc="FFFFFFFF" w:tentative="1">
      <w:start w:val="1"/>
      <w:numFmt w:val="decimal"/>
      <w:lvlText w:val="%4."/>
      <w:lvlJc w:val="left"/>
      <w:pPr>
        <w:ind w:left="3959" w:hanging="360"/>
      </w:pPr>
    </w:lvl>
    <w:lvl w:ilvl="4" w:tplc="FFFFFFFF" w:tentative="1">
      <w:start w:val="1"/>
      <w:numFmt w:val="lowerLetter"/>
      <w:lvlText w:val="%5."/>
      <w:lvlJc w:val="left"/>
      <w:pPr>
        <w:ind w:left="4679" w:hanging="360"/>
      </w:pPr>
    </w:lvl>
    <w:lvl w:ilvl="5" w:tplc="FFFFFFFF" w:tentative="1">
      <w:start w:val="1"/>
      <w:numFmt w:val="lowerRoman"/>
      <w:lvlText w:val="%6."/>
      <w:lvlJc w:val="right"/>
      <w:pPr>
        <w:ind w:left="5399" w:hanging="180"/>
      </w:pPr>
    </w:lvl>
    <w:lvl w:ilvl="6" w:tplc="FFFFFFFF" w:tentative="1">
      <w:start w:val="1"/>
      <w:numFmt w:val="decimal"/>
      <w:lvlText w:val="%7."/>
      <w:lvlJc w:val="left"/>
      <w:pPr>
        <w:ind w:left="6119" w:hanging="360"/>
      </w:pPr>
    </w:lvl>
    <w:lvl w:ilvl="7" w:tplc="FFFFFFFF" w:tentative="1">
      <w:start w:val="1"/>
      <w:numFmt w:val="lowerLetter"/>
      <w:lvlText w:val="%8."/>
      <w:lvlJc w:val="left"/>
      <w:pPr>
        <w:ind w:left="6839" w:hanging="360"/>
      </w:pPr>
    </w:lvl>
    <w:lvl w:ilvl="8" w:tplc="FFFFFFFF" w:tentative="1">
      <w:start w:val="1"/>
      <w:numFmt w:val="lowerRoman"/>
      <w:lvlText w:val="%9."/>
      <w:lvlJc w:val="right"/>
      <w:pPr>
        <w:ind w:left="7559" w:hanging="180"/>
      </w:pPr>
    </w:lvl>
  </w:abstractNum>
  <w:abstractNum w:abstractNumId="9" w15:restartNumberingAfterBreak="0">
    <w:nsid w:val="350700AD"/>
    <w:multiLevelType w:val="multilevel"/>
    <w:tmpl w:val="4494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D9096C"/>
    <w:multiLevelType w:val="hybridMultilevel"/>
    <w:tmpl w:val="5A8C331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E43612E"/>
    <w:multiLevelType w:val="multilevel"/>
    <w:tmpl w:val="BC36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876A1A"/>
    <w:multiLevelType w:val="multilevel"/>
    <w:tmpl w:val="8018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2479FE"/>
    <w:multiLevelType w:val="hybridMultilevel"/>
    <w:tmpl w:val="AFA84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256177"/>
    <w:multiLevelType w:val="hybridMultilevel"/>
    <w:tmpl w:val="D5944A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D92B1F"/>
    <w:multiLevelType w:val="hybridMultilevel"/>
    <w:tmpl w:val="1820C8B2"/>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16" w15:restartNumberingAfterBreak="0">
    <w:nsid w:val="7C1F15C2"/>
    <w:multiLevelType w:val="hybridMultilevel"/>
    <w:tmpl w:val="AAA283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0516866">
    <w:abstractNumId w:val="12"/>
  </w:num>
  <w:num w:numId="2" w16cid:durableId="241649645">
    <w:abstractNumId w:val="4"/>
  </w:num>
  <w:num w:numId="3" w16cid:durableId="1502159107">
    <w:abstractNumId w:val="14"/>
  </w:num>
  <w:num w:numId="4" w16cid:durableId="2083214265">
    <w:abstractNumId w:val="15"/>
  </w:num>
  <w:num w:numId="5" w16cid:durableId="451480416">
    <w:abstractNumId w:val="8"/>
  </w:num>
  <w:num w:numId="6" w16cid:durableId="147945757">
    <w:abstractNumId w:val="16"/>
  </w:num>
  <w:num w:numId="7" w16cid:durableId="1662274671">
    <w:abstractNumId w:val="2"/>
  </w:num>
  <w:num w:numId="8" w16cid:durableId="1647972559">
    <w:abstractNumId w:val="10"/>
  </w:num>
  <w:num w:numId="9" w16cid:durableId="621420992">
    <w:abstractNumId w:val="11"/>
  </w:num>
  <w:num w:numId="10" w16cid:durableId="1042562647">
    <w:abstractNumId w:val="7"/>
  </w:num>
  <w:num w:numId="11" w16cid:durableId="156461374">
    <w:abstractNumId w:val="9"/>
  </w:num>
  <w:num w:numId="12" w16cid:durableId="2039964559">
    <w:abstractNumId w:val="6"/>
  </w:num>
  <w:num w:numId="13" w16cid:durableId="1788810468">
    <w:abstractNumId w:val="5"/>
  </w:num>
  <w:num w:numId="14" w16cid:durableId="510338146">
    <w:abstractNumId w:val="0"/>
  </w:num>
  <w:num w:numId="15" w16cid:durableId="1660763414">
    <w:abstractNumId w:val="1"/>
  </w:num>
  <w:num w:numId="16" w16cid:durableId="1564677301">
    <w:abstractNumId w:val="13"/>
  </w:num>
  <w:num w:numId="17" w16cid:durableId="20419721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1B"/>
    <w:rsid w:val="0001007F"/>
    <w:rsid w:val="00037E77"/>
    <w:rsid w:val="00056DA6"/>
    <w:rsid w:val="0006385F"/>
    <w:rsid w:val="000D1144"/>
    <w:rsid w:val="000D6CCA"/>
    <w:rsid w:val="000F5FD8"/>
    <w:rsid w:val="000F76FE"/>
    <w:rsid w:val="00101E9A"/>
    <w:rsid w:val="00103918"/>
    <w:rsid w:val="00121EBD"/>
    <w:rsid w:val="00146434"/>
    <w:rsid w:val="00166F3C"/>
    <w:rsid w:val="001A1FF1"/>
    <w:rsid w:val="001C4B9A"/>
    <w:rsid w:val="00212708"/>
    <w:rsid w:val="0027441B"/>
    <w:rsid w:val="002A097E"/>
    <w:rsid w:val="002A3B2E"/>
    <w:rsid w:val="002C385E"/>
    <w:rsid w:val="002C3B36"/>
    <w:rsid w:val="002D4902"/>
    <w:rsid w:val="002F5754"/>
    <w:rsid w:val="00364BF1"/>
    <w:rsid w:val="00375FB8"/>
    <w:rsid w:val="00384A6B"/>
    <w:rsid w:val="003860E2"/>
    <w:rsid w:val="00387BCB"/>
    <w:rsid w:val="00413A92"/>
    <w:rsid w:val="00414166"/>
    <w:rsid w:val="004C5226"/>
    <w:rsid w:val="00545A04"/>
    <w:rsid w:val="00594F92"/>
    <w:rsid w:val="005B498E"/>
    <w:rsid w:val="005D796F"/>
    <w:rsid w:val="006960BF"/>
    <w:rsid w:val="00697E83"/>
    <w:rsid w:val="006B6185"/>
    <w:rsid w:val="006B77EA"/>
    <w:rsid w:val="006D0041"/>
    <w:rsid w:val="006F506B"/>
    <w:rsid w:val="00784A8E"/>
    <w:rsid w:val="0079216F"/>
    <w:rsid w:val="007A2F23"/>
    <w:rsid w:val="007D1F8E"/>
    <w:rsid w:val="007F1CFA"/>
    <w:rsid w:val="007F33E1"/>
    <w:rsid w:val="00813B47"/>
    <w:rsid w:val="00884C92"/>
    <w:rsid w:val="008A524C"/>
    <w:rsid w:val="008A5348"/>
    <w:rsid w:val="009406C4"/>
    <w:rsid w:val="00982850"/>
    <w:rsid w:val="009B371F"/>
    <w:rsid w:val="009B6A56"/>
    <w:rsid w:val="009E575E"/>
    <w:rsid w:val="00A72B3F"/>
    <w:rsid w:val="00A8184F"/>
    <w:rsid w:val="00AB42CD"/>
    <w:rsid w:val="00AD4DD9"/>
    <w:rsid w:val="00AF7AAA"/>
    <w:rsid w:val="00B300A3"/>
    <w:rsid w:val="00B50C6F"/>
    <w:rsid w:val="00B82D2E"/>
    <w:rsid w:val="00B97111"/>
    <w:rsid w:val="00BA5FDD"/>
    <w:rsid w:val="00C00845"/>
    <w:rsid w:val="00C108F8"/>
    <w:rsid w:val="00C1236F"/>
    <w:rsid w:val="00C320F6"/>
    <w:rsid w:val="00C837A5"/>
    <w:rsid w:val="00CB49A1"/>
    <w:rsid w:val="00CE62C9"/>
    <w:rsid w:val="00D07C69"/>
    <w:rsid w:val="00D232F7"/>
    <w:rsid w:val="00D56107"/>
    <w:rsid w:val="00D80EBC"/>
    <w:rsid w:val="00D85288"/>
    <w:rsid w:val="00DA1BD0"/>
    <w:rsid w:val="00DA4848"/>
    <w:rsid w:val="00DB14CA"/>
    <w:rsid w:val="00E41F99"/>
    <w:rsid w:val="00EC0B65"/>
    <w:rsid w:val="00EF07C7"/>
    <w:rsid w:val="00F15680"/>
    <w:rsid w:val="00F500AC"/>
    <w:rsid w:val="00F60080"/>
    <w:rsid w:val="00F670A0"/>
    <w:rsid w:val="00F76784"/>
    <w:rsid w:val="00F8722D"/>
    <w:rsid w:val="00FD54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4A4329"/>
  <w15:docId w15:val="{48481173-A099-5F46-BC67-2702AC8B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FD8"/>
    <w:rPr>
      <w:rFonts w:ascii="Times New Roman" w:hAnsi="Times New Roman"/>
      <w:sz w:val="20"/>
    </w:rPr>
  </w:style>
  <w:style w:type="paragraph" w:styleId="Heading2">
    <w:name w:val="heading 2"/>
    <w:basedOn w:val="Normal"/>
    <w:link w:val="Heading2Char"/>
    <w:uiPriority w:val="9"/>
    <w:qFormat/>
    <w:rsid w:val="00D80EBC"/>
    <w:pPr>
      <w:spacing w:before="100" w:beforeAutospacing="1" w:after="100" w:afterAutospacing="1"/>
      <w:outlineLvl w:val="1"/>
    </w:pPr>
    <w:rPr>
      <w:rFonts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CCA"/>
    <w:pPr>
      <w:spacing w:after="200" w:line="276" w:lineRule="auto"/>
      <w:ind w:left="720"/>
      <w:contextualSpacing/>
    </w:pPr>
    <w:rPr>
      <w:rFonts w:asciiTheme="minorHAnsi" w:eastAsiaTheme="minorHAnsi" w:hAnsiTheme="minorHAnsi"/>
      <w:sz w:val="22"/>
      <w:szCs w:val="22"/>
      <w:lang w:eastAsia="en-US"/>
    </w:rPr>
  </w:style>
  <w:style w:type="character" w:customStyle="1" w:styleId="Heading2Char">
    <w:name w:val="Heading 2 Char"/>
    <w:basedOn w:val="DefaultParagraphFont"/>
    <w:link w:val="Heading2"/>
    <w:uiPriority w:val="9"/>
    <w:rsid w:val="00D80EBC"/>
    <w:rPr>
      <w:rFonts w:ascii="Times New Roman" w:hAnsi="Times New Roman" w:cs="Times New Roman"/>
      <w:b/>
      <w:bCs/>
      <w:sz w:val="36"/>
      <w:szCs w:val="36"/>
      <w:lang w:eastAsia="en-US"/>
    </w:rPr>
  </w:style>
  <w:style w:type="character" w:styleId="Hyperlink">
    <w:name w:val="Hyperlink"/>
    <w:basedOn w:val="DefaultParagraphFont"/>
    <w:uiPriority w:val="99"/>
    <w:unhideWhenUsed/>
    <w:rsid w:val="00D80EBC"/>
    <w:rPr>
      <w:color w:val="0000FF" w:themeColor="hyperlink"/>
      <w:u w:val="single"/>
    </w:rPr>
  </w:style>
  <w:style w:type="paragraph" w:styleId="Footer">
    <w:name w:val="footer"/>
    <w:basedOn w:val="Normal"/>
    <w:link w:val="FooterChar"/>
    <w:uiPriority w:val="99"/>
    <w:unhideWhenUsed/>
    <w:rsid w:val="00375FB8"/>
    <w:pPr>
      <w:tabs>
        <w:tab w:val="center" w:pos="4680"/>
        <w:tab w:val="right" w:pos="9360"/>
      </w:tabs>
    </w:pPr>
  </w:style>
  <w:style w:type="character" w:customStyle="1" w:styleId="FooterChar">
    <w:name w:val="Footer Char"/>
    <w:basedOn w:val="DefaultParagraphFont"/>
    <w:link w:val="Footer"/>
    <w:uiPriority w:val="99"/>
    <w:rsid w:val="00375FB8"/>
    <w:rPr>
      <w:rFonts w:ascii="Times New Roman" w:hAnsi="Times New Roman"/>
      <w:sz w:val="20"/>
    </w:rPr>
  </w:style>
  <w:style w:type="character" w:styleId="PageNumber">
    <w:name w:val="page number"/>
    <w:basedOn w:val="DefaultParagraphFont"/>
    <w:uiPriority w:val="99"/>
    <w:semiHidden/>
    <w:unhideWhenUsed/>
    <w:rsid w:val="00375FB8"/>
  </w:style>
  <w:style w:type="table" w:styleId="TableGrid">
    <w:name w:val="Table Grid"/>
    <w:basedOn w:val="TableNormal"/>
    <w:uiPriority w:val="59"/>
    <w:rsid w:val="0041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FF1"/>
    <w:pPr>
      <w:tabs>
        <w:tab w:val="center" w:pos="4680"/>
        <w:tab w:val="right" w:pos="9360"/>
      </w:tabs>
    </w:pPr>
  </w:style>
  <w:style w:type="character" w:customStyle="1" w:styleId="HeaderChar">
    <w:name w:val="Header Char"/>
    <w:basedOn w:val="DefaultParagraphFont"/>
    <w:link w:val="Header"/>
    <w:uiPriority w:val="99"/>
    <w:rsid w:val="001A1FF1"/>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732331">
      <w:bodyDiv w:val="1"/>
      <w:marLeft w:val="0"/>
      <w:marRight w:val="0"/>
      <w:marTop w:val="0"/>
      <w:marBottom w:val="0"/>
      <w:divBdr>
        <w:top w:val="none" w:sz="0" w:space="0" w:color="auto"/>
        <w:left w:val="none" w:sz="0" w:space="0" w:color="auto"/>
        <w:bottom w:val="none" w:sz="0" w:space="0" w:color="auto"/>
        <w:right w:val="none" w:sz="0" w:space="0" w:color="auto"/>
      </w:divBdr>
    </w:div>
    <w:div w:id="694228652">
      <w:bodyDiv w:val="1"/>
      <w:marLeft w:val="0"/>
      <w:marRight w:val="0"/>
      <w:marTop w:val="0"/>
      <w:marBottom w:val="0"/>
      <w:divBdr>
        <w:top w:val="none" w:sz="0" w:space="0" w:color="auto"/>
        <w:left w:val="none" w:sz="0" w:space="0" w:color="auto"/>
        <w:bottom w:val="none" w:sz="0" w:space="0" w:color="auto"/>
        <w:right w:val="none" w:sz="0" w:space="0" w:color="auto"/>
      </w:divBdr>
    </w:div>
    <w:div w:id="805708249">
      <w:bodyDiv w:val="1"/>
      <w:marLeft w:val="0"/>
      <w:marRight w:val="0"/>
      <w:marTop w:val="0"/>
      <w:marBottom w:val="0"/>
      <w:divBdr>
        <w:top w:val="none" w:sz="0" w:space="0" w:color="auto"/>
        <w:left w:val="none" w:sz="0" w:space="0" w:color="auto"/>
        <w:bottom w:val="none" w:sz="0" w:space="0" w:color="auto"/>
        <w:right w:val="none" w:sz="0" w:space="0" w:color="auto"/>
      </w:divBdr>
    </w:div>
    <w:div w:id="1628121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Deandra Little</cp:lastModifiedBy>
  <cp:revision>3</cp:revision>
  <cp:lastPrinted>2022-02-03T19:46:00Z</cp:lastPrinted>
  <dcterms:created xsi:type="dcterms:W3CDTF">2023-08-14T19:29:00Z</dcterms:created>
  <dcterms:modified xsi:type="dcterms:W3CDTF">2023-08-14T19:37:00Z</dcterms:modified>
</cp:coreProperties>
</file>