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F8D26" w14:textId="57021BAB" w:rsidR="002D3487" w:rsidRDefault="002D3487" w:rsidP="00C57C84">
      <w:pPr>
        <w:autoSpaceDE w:val="0"/>
        <w:autoSpaceDN w:val="0"/>
        <w:adjustRightInd w:val="0"/>
        <w:spacing w:after="0" w:line="240" w:lineRule="auto"/>
        <w:jc w:val="center"/>
        <w:rPr>
          <w:rFonts w:ascii="Calibri" w:hAnsi="Calibri" w:cs="Calibri"/>
          <w:b/>
          <w:bCs/>
          <w:color w:val="000000"/>
          <w:kern w:val="0"/>
          <w:sz w:val="34"/>
          <w:szCs w:val="34"/>
        </w:rPr>
      </w:pPr>
      <w:r>
        <w:rPr>
          <w:noProof/>
        </w:rPr>
        <w:drawing>
          <wp:inline distT="0" distB="0" distL="0" distR="0" wp14:anchorId="31FBD26E" wp14:editId="2F24EB2C">
            <wp:extent cx="4834735" cy="1775319"/>
            <wp:effectExtent l="0" t="0" r="4445" b="0"/>
            <wp:docPr id="1546103515" name="Picture 1" descr="NC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03515" name="Picture 1" descr="NCAS Logo"/>
                    <pic:cNvPicPr/>
                  </pic:nvPicPr>
                  <pic:blipFill>
                    <a:blip r:embed="rId8"/>
                    <a:stretch>
                      <a:fillRect/>
                    </a:stretch>
                  </pic:blipFill>
                  <pic:spPr>
                    <a:xfrm>
                      <a:off x="0" y="0"/>
                      <a:ext cx="4850897" cy="1781254"/>
                    </a:xfrm>
                    <a:prstGeom prst="rect">
                      <a:avLst/>
                    </a:prstGeom>
                  </pic:spPr>
                </pic:pic>
              </a:graphicData>
            </a:graphic>
          </wp:inline>
        </w:drawing>
      </w:r>
    </w:p>
    <w:p w14:paraId="2AC8D641" w14:textId="7D6D0617" w:rsidR="00C86D78" w:rsidRPr="009A7B94" w:rsidRDefault="00AC28C6" w:rsidP="003701A9">
      <w:pPr>
        <w:autoSpaceDE w:val="0"/>
        <w:autoSpaceDN w:val="0"/>
        <w:adjustRightInd w:val="0"/>
        <w:spacing w:after="0" w:line="240" w:lineRule="auto"/>
        <w:jc w:val="center"/>
        <w:rPr>
          <w:rFonts w:ascii="Calibri" w:hAnsi="Calibri" w:cs="Calibri"/>
          <w:b/>
          <w:bCs/>
          <w:color w:val="000000"/>
          <w:kern w:val="0"/>
          <w:sz w:val="34"/>
          <w:szCs w:val="34"/>
        </w:rPr>
      </w:pPr>
      <w:r w:rsidRPr="009A7B94">
        <w:rPr>
          <w:rFonts w:ascii="Calibri" w:hAnsi="Calibri" w:cs="Calibri"/>
          <w:b/>
          <w:bCs/>
          <w:color w:val="000000"/>
          <w:kern w:val="0"/>
          <w:sz w:val="34"/>
          <w:szCs w:val="34"/>
        </w:rPr>
        <w:t>122</w:t>
      </w:r>
      <w:r w:rsidRPr="009A7B94">
        <w:rPr>
          <w:rFonts w:ascii="Calibri" w:hAnsi="Calibri" w:cs="Calibri"/>
          <w:b/>
          <w:bCs/>
          <w:color w:val="000000"/>
          <w:kern w:val="0"/>
          <w:sz w:val="34"/>
          <w:szCs w:val="34"/>
          <w:vertAlign w:val="superscript"/>
        </w:rPr>
        <w:t>nd</w:t>
      </w:r>
      <w:r w:rsidRPr="009A7B94">
        <w:rPr>
          <w:rFonts w:ascii="Calibri" w:hAnsi="Calibri" w:cs="Calibri"/>
          <w:b/>
          <w:bCs/>
          <w:color w:val="000000"/>
          <w:kern w:val="0"/>
          <w:sz w:val="34"/>
          <w:szCs w:val="34"/>
        </w:rPr>
        <w:t xml:space="preserve"> Annual Meeting of the North Carolina Academy of Science</w:t>
      </w:r>
    </w:p>
    <w:p w14:paraId="414859D7" w14:textId="0C9E6C76" w:rsidR="00AC28C6" w:rsidRDefault="009A7B94" w:rsidP="003701A9">
      <w:pPr>
        <w:autoSpaceDE w:val="0"/>
        <w:autoSpaceDN w:val="0"/>
        <w:adjustRightInd w:val="0"/>
        <w:spacing w:after="0" w:line="240" w:lineRule="auto"/>
        <w:jc w:val="center"/>
        <w:rPr>
          <w:rFonts w:ascii="Calibri" w:hAnsi="Calibri" w:cs="Calibri"/>
          <w:b/>
          <w:bCs/>
          <w:color w:val="000000"/>
          <w:kern w:val="0"/>
          <w:sz w:val="34"/>
          <w:szCs w:val="34"/>
        </w:rPr>
      </w:pPr>
      <w:r w:rsidRPr="009A7B94">
        <w:rPr>
          <w:rFonts w:ascii="Calibri" w:hAnsi="Calibri" w:cs="Calibri"/>
          <w:b/>
          <w:bCs/>
          <w:color w:val="000000"/>
          <w:kern w:val="0"/>
          <w:sz w:val="34"/>
          <w:szCs w:val="34"/>
        </w:rPr>
        <w:t>“Science Innovation:  Making Interdisciplinary Connections”</w:t>
      </w:r>
    </w:p>
    <w:p w14:paraId="5D484B4F" w14:textId="2C55F584" w:rsidR="008B7810" w:rsidRPr="009A7B94" w:rsidRDefault="008B7810" w:rsidP="003701A9">
      <w:pPr>
        <w:autoSpaceDE w:val="0"/>
        <w:autoSpaceDN w:val="0"/>
        <w:adjustRightInd w:val="0"/>
        <w:spacing w:after="0" w:line="240" w:lineRule="auto"/>
        <w:jc w:val="center"/>
        <w:rPr>
          <w:rFonts w:ascii="Calibri" w:hAnsi="Calibri" w:cs="Calibri"/>
          <w:b/>
          <w:bCs/>
          <w:color w:val="000000"/>
          <w:kern w:val="0"/>
          <w:sz w:val="34"/>
          <w:szCs w:val="34"/>
        </w:rPr>
      </w:pPr>
      <w:r>
        <w:rPr>
          <w:rFonts w:ascii="Calibri" w:hAnsi="Calibri" w:cs="Calibri"/>
          <w:b/>
          <w:bCs/>
          <w:color w:val="000000"/>
          <w:kern w:val="0"/>
          <w:sz w:val="34"/>
          <w:szCs w:val="34"/>
        </w:rPr>
        <w:t>Elon University, April 24-25, 2026</w:t>
      </w:r>
    </w:p>
    <w:p w14:paraId="74613CCE" w14:textId="6DEF1C0E" w:rsidR="00C86D78" w:rsidRDefault="00C57C84" w:rsidP="008B7810">
      <w:pPr>
        <w:autoSpaceDE w:val="0"/>
        <w:autoSpaceDN w:val="0"/>
        <w:adjustRightInd w:val="0"/>
        <w:spacing w:after="0" w:line="240" w:lineRule="auto"/>
        <w:jc w:val="center"/>
        <w:rPr>
          <w:rFonts w:ascii="Calibri" w:hAnsi="Calibri" w:cs="Calibri"/>
          <w:b/>
          <w:bCs/>
          <w:color w:val="000000"/>
          <w:kern w:val="0"/>
          <w:sz w:val="28"/>
          <w:szCs w:val="28"/>
        </w:rPr>
      </w:pPr>
      <w:r>
        <w:rPr>
          <w:noProof/>
        </w:rPr>
        <w:drawing>
          <wp:inline distT="0" distB="0" distL="0" distR="0" wp14:anchorId="09144837" wp14:editId="42B7614C">
            <wp:extent cx="4024323" cy="1431169"/>
            <wp:effectExtent l="0" t="0" r="0" b="0"/>
            <wp:docPr id="1906613706" name="Picture 1" descr="Photo of Koury Business Center on Elon University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13706" name="Picture 1" descr="Photo of Koury Business Center on Elon University campu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5982" cy="1442428"/>
                    </a:xfrm>
                    <a:prstGeom prst="rect">
                      <a:avLst/>
                    </a:prstGeom>
                  </pic:spPr>
                </pic:pic>
              </a:graphicData>
            </a:graphic>
          </wp:inline>
        </w:drawing>
      </w:r>
    </w:p>
    <w:p w14:paraId="139BCE46" w14:textId="77777777" w:rsidR="00C86D78" w:rsidRDefault="00C86D78" w:rsidP="003701A9">
      <w:pPr>
        <w:autoSpaceDE w:val="0"/>
        <w:autoSpaceDN w:val="0"/>
        <w:adjustRightInd w:val="0"/>
        <w:spacing w:after="0" w:line="240" w:lineRule="auto"/>
        <w:jc w:val="center"/>
        <w:rPr>
          <w:rFonts w:ascii="Calibri" w:hAnsi="Calibri" w:cs="Calibri"/>
          <w:b/>
          <w:bCs/>
          <w:color w:val="000000"/>
          <w:kern w:val="0"/>
          <w:sz w:val="28"/>
          <w:szCs w:val="28"/>
        </w:rPr>
      </w:pPr>
    </w:p>
    <w:p w14:paraId="048548AB" w14:textId="4587B5D5" w:rsidR="00C86D78" w:rsidRDefault="00355760" w:rsidP="00BE699E">
      <w:pPr>
        <w:autoSpaceDE w:val="0"/>
        <w:autoSpaceDN w:val="0"/>
        <w:adjustRightInd w:val="0"/>
        <w:spacing w:after="0" w:line="240" w:lineRule="auto"/>
        <w:jc w:val="center"/>
        <w:rPr>
          <w:noProof/>
        </w:rPr>
      </w:pPr>
      <w:r>
        <w:rPr>
          <w:noProof/>
        </w:rPr>
        <w:drawing>
          <wp:inline distT="0" distB="0" distL="0" distR="0" wp14:anchorId="7FC9F79C" wp14:editId="054C11BB">
            <wp:extent cx="2524125" cy="828675"/>
            <wp:effectExtent l="0" t="0" r="9525" b="9525"/>
            <wp:docPr id="1287142076" name="Picture 1" descr="Elon University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42076" name="Picture 1" descr="Elon University Logo">
                      <a:hlinkClick r:id="rId10"/>
                    </pic:cNvPr>
                    <pic:cNvPicPr/>
                  </pic:nvPicPr>
                  <pic:blipFill>
                    <a:blip r:embed="rId11"/>
                    <a:stretch>
                      <a:fillRect/>
                    </a:stretch>
                  </pic:blipFill>
                  <pic:spPr>
                    <a:xfrm>
                      <a:off x="0" y="0"/>
                      <a:ext cx="2524125" cy="828675"/>
                    </a:xfrm>
                    <a:prstGeom prst="rect">
                      <a:avLst/>
                    </a:prstGeom>
                  </pic:spPr>
                </pic:pic>
              </a:graphicData>
            </a:graphic>
          </wp:inline>
        </w:drawing>
      </w:r>
      <w:r w:rsidR="009614F8">
        <w:rPr>
          <w:noProof/>
        </w:rPr>
        <w:t xml:space="preserve">            </w:t>
      </w:r>
      <w:r w:rsidR="000B7939">
        <w:rPr>
          <w:noProof/>
        </w:rPr>
        <w:drawing>
          <wp:inline distT="0" distB="0" distL="0" distR="0" wp14:anchorId="5B1A2011" wp14:editId="786C3FBA">
            <wp:extent cx="2838450" cy="752475"/>
            <wp:effectExtent l="0" t="0" r="0" b="9525"/>
            <wp:docPr id="1350299421" name="Picture 1" descr="NCBC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99421" name="Picture 1" descr="NCBC Logo">
                      <a:hlinkClick r:id="rId12"/>
                    </pic:cNvPr>
                    <pic:cNvPicPr/>
                  </pic:nvPicPr>
                  <pic:blipFill>
                    <a:blip r:embed="rId13"/>
                    <a:stretch>
                      <a:fillRect/>
                    </a:stretch>
                  </pic:blipFill>
                  <pic:spPr>
                    <a:xfrm>
                      <a:off x="0" y="0"/>
                      <a:ext cx="2838450" cy="752475"/>
                    </a:xfrm>
                    <a:prstGeom prst="rect">
                      <a:avLst/>
                    </a:prstGeom>
                  </pic:spPr>
                </pic:pic>
              </a:graphicData>
            </a:graphic>
          </wp:inline>
        </w:drawing>
      </w:r>
    </w:p>
    <w:p w14:paraId="410587D9" w14:textId="77777777" w:rsidR="00A0326A" w:rsidRDefault="00A0326A" w:rsidP="00BE699E">
      <w:pPr>
        <w:autoSpaceDE w:val="0"/>
        <w:autoSpaceDN w:val="0"/>
        <w:adjustRightInd w:val="0"/>
        <w:spacing w:after="0" w:line="240" w:lineRule="auto"/>
        <w:jc w:val="center"/>
        <w:rPr>
          <w:rFonts w:ascii="Calibri" w:hAnsi="Calibri" w:cs="Calibri"/>
          <w:b/>
          <w:bCs/>
          <w:color w:val="000000"/>
          <w:kern w:val="0"/>
          <w:sz w:val="28"/>
          <w:szCs w:val="28"/>
        </w:rPr>
      </w:pPr>
    </w:p>
    <w:p w14:paraId="3B42BC2F" w14:textId="7F15C0DE" w:rsidR="00E22AB6" w:rsidRDefault="009614F8" w:rsidP="009614F8">
      <w:pPr>
        <w:autoSpaceDE w:val="0"/>
        <w:autoSpaceDN w:val="0"/>
        <w:adjustRightInd w:val="0"/>
        <w:spacing w:after="0" w:line="240" w:lineRule="auto"/>
        <w:rPr>
          <w:noProof/>
        </w:rPr>
      </w:pPr>
      <w:r>
        <w:rPr>
          <w:noProof/>
        </w:rPr>
        <w:t xml:space="preserve">  </w:t>
      </w:r>
      <w:r w:rsidR="006D728E">
        <w:rPr>
          <w:noProof/>
        </w:rPr>
        <w:drawing>
          <wp:inline distT="0" distB="0" distL="0" distR="0" wp14:anchorId="00AC5B6C" wp14:editId="0660B217">
            <wp:extent cx="2847975" cy="895350"/>
            <wp:effectExtent l="0" t="0" r="9525" b="0"/>
            <wp:docPr id="1568449004" name="Picture 1" descr="Labcorp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49004" name="Picture 1" descr="Labcorp Logo">
                      <a:hlinkClick r:id="rId14"/>
                    </pic:cNvPr>
                    <pic:cNvPicPr/>
                  </pic:nvPicPr>
                  <pic:blipFill>
                    <a:blip r:embed="rId15"/>
                    <a:stretch>
                      <a:fillRect/>
                    </a:stretch>
                  </pic:blipFill>
                  <pic:spPr>
                    <a:xfrm>
                      <a:off x="0" y="0"/>
                      <a:ext cx="2847975" cy="895350"/>
                    </a:xfrm>
                    <a:prstGeom prst="rect">
                      <a:avLst/>
                    </a:prstGeom>
                  </pic:spPr>
                </pic:pic>
              </a:graphicData>
            </a:graphic>
          </wp:inline>
        </w:drawing>
      </w:r>
      <w:r w:rsidR="00BE699E">
        <w:rPr>
          <w:noProof/>
        </w:rPr>
        <w:t xml:space="preserve">  </w:t>
      </w:r>
      <w:r w:rsidR="00084B27">
        <w:rPr>
          <w:noProof/>
        </w:rPr>
        <w:t xml:space="preserve">           </w:t>
      </w:r>
      <w:r w:rsidR="00BE699E">
        <w:rPr>
          <w:noProof/>
        </w:rPr>
        <w:t xml:space="preserve">     </w:t>
      </w:r>
      <w:r w:rsidR="00E22AB6">
        <w:rPr>
          <w:noProof/>
        </w:rPr>
        <w:drawing>
          <wp:inline distT="0" distB="0" distL="0" distR="0" wp14:anchorId="77CD402C" wp14:editId="1B22E6EF">
            <wp:extent cx="1772899" cy="1228545"/>
            <wp:effectExtent l="0" t="0" r="0" b="0"/>
            <wp:docPr id="447175687" name="Picture 1" descr="Siemens Mobility Corporate Logo&#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5687" name="Picture 1" descr="Siemens Mobility Corporate Logo&#10;">
                      <a:hlinkClick r:id="rId16"/>
                    </pic:cNvPr>
                    <pic:cNvPicPr/>
                  </pic:nvPicPr>
                  <pic:blipFill>
                    <a:blip r:embed="rId17"/>
                    <a:stretch>
                      <a:fillRect/>
                    </a:stretch>
                  </pic:blipFill>
                  <pic:spPr>
                    <a:xfrm>
                      <a:off x="0" y="0"/>
                      <a:ext cx="1794159" cy="1243277"/>
                    </a:xfrm>
                    <a:prstGeom prst="rect">
                      <a:avLst/>
                    </a:prstGeom>
                  </pic:spPr>
                </pic:pic>
              </a:graphicData>
            </a:graphic>
          </wp:inline>
        </w:drawing>
      </w:r>
    </w:p>
    <w:p w14:paraId="392C8384" w14:textId="77777777" w:rsidR="009614F8" w:rsidRDefault="009614F8" w:rsidP="009614F8">
      <w:pPr>
        <w:autoSpaceDE w:val="0"/>
        <w:autoSpaceDN w:val="0"/>
        <w:adjustRightInd w:val="0"/>
        <w:spacing w:after="0" w:line="240" w:lineRule="auto"/>
        <w:rPr>
          <w:noProof/>
        </w:rPr>
      </w:pPr>
    </w:p>
    <w:p w14:paraId="6A4538EF" w14:textId="5B97C64F" w:rsidR="002D3487" w:rsidRDefault="00084B27" w:rsidP="00D97538">
      <w:pPr>
        <w:autoSpaceDE w:val="0"/>
        <w:autoSpaceDN w:val="0"/>
        <w:adjustRightInd w:val="0"/>
        <w:spacing w:after="0" w:line="240" w:lineRule="auto"/>
        <w:jc w:val="center"/>
        <w:rPr>
          <w:rFonts w:ascii="Calibri" w:hAnsi="Calibri" w:cs="Calibri"/>
          <w:b/>
          <w:bCs/>
          <w:color w:val="000000"/>
          <w:kern w:val="0"/>
          <w:sz w:val="32"/>
          <w:szCs w:val="32"/>
        </w:rPr>
      </w:pPr>
      <w:r>
        <w:rPr>
          <w:noProof/>
        </w:rPr>
        <w:drawing>
          <wp:inline distT="0" distB="0" distL="0" distR="0" wp14:anchorId="00D0AE36" wp14:editId="4D39590A">
            <wp:extent cx="1710198" cy="838166"/>
            <wp:effectExtent l="0" t="0" r="4445" b="635"/>
            <wp:docPr id="125992785" name="Picture 1" descr="North Carolina State University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2785" name="Picture 1" descr="North Carolina State University logo">
                      <a:hlinkClick r:id="rId18"/>
                    </pic:cNvPr>
                    <pic:cNvPicPr/>
                  </pic:nvPicPr>
                  <pic:blipFill>
                    <a:blip r:embed="rId19"/>
                    <a:stretch>
                      <a:fillRect/>
                    </a:stretch>
                  </pic:blipFill>
                  <pic:spPr>
                    <a:xfrm>
                      <a:off x="0" y="0"/>
                      <a:ext cx="1714012" cy="840035"/>
                    </a:xfrm>
                    <a:prstGeom prst="rect">
                      <a:avLst/>
                    </a:prstGeom>
                  </pic:spPr>
                </pic:pic>
              </a:graphicData>
            </a:graphic>
          </wp:inline>
        </w:drawing>
      </w:r>
      <w:r w:rsidR="00B01EDF">
        <w:rPr>
          <w:rFonts w:ascii="Calibri" w:hAnsi="Calibri" w:cs="Calibri"/>
          <w:b/>
          <w:bCs/>
          <w:color w:val="000000"/>
          <w:kern w:val="0"/>
          <w:sz w:val="32"/>
          <w:szCs w:val="32"/>
        </w:rPr>
        <w:t xml:space="preserve">  </w:t>
      </w:r>
    </w:p>
    <w:p w14:paraId="3CDE1706" w14:textId="64031AD6" w:rsidR="00E01FF0" w:rsidRPr="00B1777F" w:rsidRDefault="00E01FF0" w:rsidP="00D97538">
      <w:pPr>
        <w:autoSpaceDE w:val="0"/>
        <w:autoSpaceDN w:val="0"/>
        <w:adjustRightInd w:val="0"/>
        <w:spacing w:after="0" w:line="240" w:lineRule="auto"/>
        <w:jc w:val="center"/>
        <w:rPr>
          <w:rFonts w:ascii="Calibri" w:hAnsi="Calibri" w:cs="Calibri"/>
          <w:b/>
          <w:bCs/>
          <w:color w:val="BF4E14" w:themeColor="accent2" w:themeShade="BF"/>
          <w:kern w:val="0"/>
          <w:sz w:val="28"/>
          <w:szCs w:val="28"/>
        </w:rPr>
      </w:pPr>
      <w:r w:rsidRPr="00B1777F">
        <w:rPr>
          <w:rFonts w:ascii="Calibri" w:hAnsi="Calibri" w:cs="Calibri"/>
          <w:b/>
          <w:bCs/>
          <w:color w:val="BF4E14" w:themeColor="accent2" w:themeShade="BF"/>
          <w:kern w:val="0"/>
          <w:sz w:val="28"/>
          <w:szCs w:val="28"/>
        </w:rPr>
        <w:t xml:space="preserve">Interdisciplinary Biochemistry </w:t>
      </w:r>
      <w:r w:rsidR="000F439B" w:rsidRPr="00B1777F">
        <w:rPr>
          <w:rFonts w:ascii="Calibri" w:hAnsi="Calibri" w:cs="Calibri"/>
          <w:b/>
          <w:bCs/>
          <w:color w:val="BF4E14" w:themeColor="accent2" w:themeShade="BF"/>
          <w:kern w:val="0"/>
          <w:sz w:val="28"/>
          <w:szCs w:val="28"/>
        </w:rPr>
        <w:t>Master’s</w:t>
      </w:r>
      <w:r w:rsidR="00B1777F" w:rsidRPr="00B1777F">
        <w:rPr>
          <w:rFonts w:ascii="Calibri" w:hAnsi="Calibri" w:cs="Calibri"/>
          <w:b/>
          <w:bCs/>
          <w:color w:val="BF4E14" w:themeColor="accent2" w:themeShade="BF"/>
          <w:kern w:val="0"/>
          <w:sz w:val="28"/>
          <w:szCs w:val="28"/>
        </w:rPr>
        <w:t xml:space="preserve"> </w:t>
      </w:r>
      <w:r w:rsidRPr="00B1777F">
        <w:rPr>
          <w:rFonts w:ascii="Calibri" w:hAnsi="Calibri" w:cs="Calibri"/>
          <w:b/>
          <w:bCs/>
          <w:color w:val="BF4E14" w:themeColor="accent2" w:themeShade="BF"/>
          <w:kern w:val="0"/>
          <w:sz w:val="28"/>
          <w:szCs w:val="28"/>
        </w:rPr>
        <w:t>Program</w:t>
      </w:r>
    </w:p>
    <w:p w14:paraId="4ADF71BC" w14:textId="77777777" w:rsidR="00C57C84" w:rsidRDefault="00C57C84" w:rsidP="00D97538">
      <w:pPr>
        <w:autoSpaceDE w:val="0"/>
        <w:autoSpaceDN w:val="0"/>
        <w:adjustRightInd w:val="0"/>
        <w:spacing w:after="0" w:line="240" w:lineRule="auto"/>
        <w:jc w:val="center"/>
        <w:rPr>
          <w:rFonts w:ascii="Calibri" w:hAnsi="Calibri" w:cs="Calibri"/>
          <w:b/>
          <w:bCs/>
          <w:color w:val="000000"/>
          <w:kern w:val="0"/>
          <w:sz w:val="32"/>
          <w:szCs w:val="32"/>
        </w:rPr>
      </w:pPr>
    </w:p>
    <w:p w14:paraId="0CF549CF" w14:textId="287D4ED0" w:rsidR="00BC2BB8" w:rsidRPr="00D97538" w:rsidRDefault="00BC2BB8" w:rsidP="00D97538">
      <w:pPr>
        <w:autoSpaceDE w:val="0"/>
        <w:autoSpaceDN w:val="0"/>
        <w:adjustRightInd w:val="0"/>
        <w:spacing w:after="0" w:line="240" w:lineRule="auto"/>
        <w:jc w:val="center"/>
        <w:rPr>
          <w:rFonts w:ascii="Calibri" w:hAnsi="Calibri" w:cs="Calibri"/>
          <w:b/>
          <w:bCs/>
          <w:color w:val="000000"/>
          <w:kern w:val="0"/>
          <w:sz w:val="32"/>
          <w:szCs w:val="32"/>
        </w:rPr>
      </w:pPr>
      <w:bookmarkStart w:id="0" w:name="TableofContents"/>
      <w:r w:rsidRPr="00BC2BB8">
        <w:rPr>
          <w:rFonts w:ascii="Calibri" w:hAnsi="Calibri" w:cs="Calibri"/>
          <w:b/>
          <w:bCs/>
          <w:color w:val="000000"/>
          <w:kern w:val="0"/>
          <w:sz w:val="32"/>
          <w:szCs w:val="32"/>
        </w:rPr>
        <w:lastRenderedPageBreak/>
        <w:t>Table of Contents</w:t>
      </w:r>
      <w:bookmarkEnd w:id="0"/>
    </w:p>
    <w:p w14:paraId="005E80A5" w14:textId="370E007E" w:rsidR="007F4A6C" w:rsidRDefault="004F1645" w:rsidP="004F1645">
      <w:pPr>
        <w:autoSpaceDE w:val="0"/>
        <w:autoSpaceDN w:val="0"/>
        <w:adjustRightInd w:val="0"/>
        <w:spacing w:after="0" w:line="240" w:lineRule="auto"/>
        <w:rPr>
          <w:rFonts w:ascii="Calibri" w:hAnsi="Calibri" w:cs="Calibri"/>
          <w:color w:val="000000"/>
          <w:kern w:val="0"/>
        </w:rPr>
      </w:pPr>
      <w:hyperlink w:anchor="WL" w:history="1">
        <w:r w:rsidRPr="00BF11A6">
          <w:rPr>
            <w:rStyle w:val="Hyperlink"/>
            <w:rFonts w:ascii="Calibri" w:hAnsi="Calibri" w:cs="Calibri"/>
            <w:kern w:val="0"/>
          </w:rPr>
          <w:t>Welcome Letter</w:t>
        </w:r>
      </w:hyperlink>
    </w:p>
    <w:p w14:paraId="4EF62AD0" w14:textId="426AFB5A" w:rsidR="00E22F9F" w:rsidRDefault="00E22F9F" w:rsidP="004F1645">
      <w:pPr>
        <w:autoSpaceDE w:val="0"/>
        <w:autoSpaceDN w:val="0"/>
        <w:adjustRightInd w:val="0"/>
        <w:spacing w:after="0" w:line="240" w:lineRule="auto"/>
        <w:rPr>
          <w:rFonts w:ascii="Calibri" w:hAnsi="Calibri" w:cs="Calibri"/>
          <w:color w:val="000000"/>
          <w:kern w:val="0"/>
        </w:rPr>
      </w:pPr>
      <w:hyperlink w:anchor="AaGs" w:history="1">
        <w:r w:rsidRPr="00B25CFE">
          <w:rPr>
            <w:rStyle w:val="Hyperlink"/>
            <w:rFonts w:ascii="Calibri" w:hAnsi="Calibri" w:cs="Calibri"/>
            <w:kern w:val="0"/>
          </w:rPr>
          <w:t>At-a-Glance Schedule of Meeting Events and Room Assignments</w:t>
        </w:r>
      </w:hyperlink>
    </w:p>
    <w:p w14:paraId="5B514ABE" w14:textId="4F8677CF" w:rsidR="00E22F9F" w:rsidRDefault="00E22F9F" w:rsidP="004F1645">
      <w:pPr>
        <w:autoSpaceDE w:val="0"/>
        <w:autoSpaceDN w:val="0"/>
        <w:adjustRightInd w:val="0"/>
        <w:spacing w:after="0" w:line="240" w:lineRule="auto"/>
        <w:rPr>
          <w:rFonts w:ascii="Calibri" w:hAnsi="Calibri" w:cs="Calibri"/>
          <w:color w:val="000000"/>
          <w:kern w:val="0"/>
        </w:rPr>
      </w:pPr>
      <w:hyperlink w:anchor="Keynote" w:history="1">
        <w:r w:rsidRPr="00B25CFE">
          <w:rPr>
            <w:rStyle w:val="Hyperlink"/>
            <w:rFonts w:ascii="Calibri" w:hAnsi="Calibri" w:cs="Calibri"/>
            <w:kern w:val="0"/>
          </w:rPr>
          <w:t>Keynote Speaker Bio</w:t>
        </w:r>
      </w:hyperlink>
    </w:p>
    <w:p w14:paraId="02949D3C" w14:textId="116550F9" w:rsidR="008C5F35" w:rsidRDefault="008C5F35" w:rsidP="004F1645">
      <w:pPr>
        <w:autoSpaceDE w:val="0"/>
        <w:autoSpaceDN w:val="0"/>
        <w:adjustRightInd w:val="0"/>
        <w:spacing w:after="0" w:line="240" w:lineRule="auto"/>
        <w:rPr>
          <w:rFonts w:ascii="Calibri" w:hAnsi="Calibri" w:cs="Calibri"/>
          <w:color w:val="000000"/>
          <w:kern w:val="0"/>
        </w:rPr>
      </w:pPr>
      <w:hyperlink w:anchor="ResumeTuneup" w:history="1">
        <w:r w:rsidRPr="00B25CFE">
          <w:rPr>
            <w:rStyle w:val="Hyperlink"/>
            <w:rFonts w:ascii="Calibri" w:hAnsi="Calibri" w:cs="Calibri"/>
            <w:kern w:val="0"/>
          </w:rPr>
          <w:t>Resumé Tune-Up</w:t>
        </w:r>
      </w:hyperlink>
    </w:p>
    <w:p w14:paraId="1A7091E7" w14:textId="403524CD" w:rsidR="00E22F9F" w:rsidRDefault="00E22F9F" w:rsidP="004F1645">
      <w:pPr>
        <w:autoSpaceDE w:val="0"/>
        <w:autoSpaceDN w:val="0"/>
        <w:adjustRightInd w:val="0"/>
        <w:spacing w:after="0" w:line="240" w:lineRule="auto"/>
        <w:rPr>
          <w:rFonts w:ascii="Calibri" w:hAnsi="Calibri" w:cs="Calibri"/>
          <w:color w:val="000000"/>
          <w:kern w:val="0"/>
        </w:rPr>
      </w:pPr>
      <w:hyperlink w:anchor="ConAftWork" w:history="1">
        <w:r w:rsidRPr="00B25CFE">
          <w:rPr>
            <w:rStyle w:val="Hyperlink"/>
            <w:rFonts w:ascii="Calibri" w:hAnsi="Calibri" w:cs="Calibri"/>
            <w:kern w:val="0"/>
          </w:rPr>
          <w:t xml:space="preserve">Concurrent Afternoon Workshops and </w:t>
        </w:r>
        <w:r w:rsidR="00F203C8" w:rsidRPr="00B25CFE">
          <w:rPr>
            <w:rStyle w:val="Hyperlink"/>
            <w:rFonts w:ascii="Calibri" w:hAnsi="Calibri" w:cs="Calibri"/>
            <w:kern w:val="0"/>
          </w:rPr>
          <w:t>Panel</w:t>
        </w:r>
      </w:hyperlink>
    </w:p>
    <w:p w14:paraId="08A4C882" w14:textId="6682B0D0" w:rsidR="00E22F9F" w:rsidRPr="00276DC8" w:rsidRDefault="00E22F9F" w:rsidP="004F1645">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rPr>
        <w:tab/>
      </w:r>
      <w:r>
        <w:rPr>
          <w:rFonts w:ascii="Calibri" w:hAnsi="Calibri" w:cs="Calibri"/>
          <w:color w:val="000000"/>
          <w:kern w:val="0"/>
        </w:rPr>
        <w:tab/>
      </w:r>
      <w:hyperlink w:anchor="SandAworkshop" w:history="1">
        <w:r w:rsidRPr="00276DC8">
          <w:rPr>
            <w:rStyle w:val="Hyperlink"/>
            <w:rFonts w:ascii="Calibri" w:hAnsi="Calibri" w:cs="Calibri"/>
            <w:kern w:val="0"/>
            <w:sz w:val="22"/>
            <w:szCs w:val="22"/>
          </w:rPr>
          <w:t>Science and Advocacy 101: Turning Evidence into Impact</w:t>
        </w:r>
      </w:hyperlink>
      <w:r w:rsidRPr="00276DC8">
        <w:rPr>
          <w:rFonts w:ascii="Calibri" w:hAnsi="Calibri" w:cs="Calibri"/>
          <w:color w:val="000000"/>
          <w:kern w:val="0"/>
          <w:sz w:val="22"/>
          <w:szCs w:val="22"/>
        </w:rPr>
        <w:tab/>
      </w:r>
    </w:p>
    <w:p w14:paraId="1F5BEAAE" w14:textId="45E76473" w:rsidR="004F1645" w:rsidRPr="00276DC8" w:rsidRDefault="00E22F9F" w:rsidP="004F1645">
      <w:pPr>
        <w:autoSpaceDE w:val="0"/>
        <w:autoSpaceDN w:val="0"/>
        <w:adjustRightInd w:val="0"/>
        <w:spacing w:after="0" w:line="240" w:lineRule="auto"/>
        <w:rPr>
          <w:rFonts w:ascii="Calibri" w:hAnsi="Calibri" w:cs="Calibri"/>
          <w:color w:val="000000"/>
          <w:kern w:val="0"/>
          <w:sz w:val="22"/>
          <w:szCs w:val="22"/>
        </w:rPr>
      </w:pPr>
      <w:r w:rsidRPr="00276DC8">
        <w:rPr>
          <w:rFonts w:ascii="Calibri" w:hAnsi="Calibri" w:cs="Calibri"/>
          <w:color w:val="000000"/>
          <w:kern w:val="0"/>
          <w:sz w:val="22"/>
          <w:szCs w:val="22"/>
        </w:rPr>
        <w:tab/>
      </w:r>
      <w:r w:rsidRPr="00276DC8">
        <w:rPr>
          <w:rFonts w:ascii="Calibri" w:hAnsi="Calibri" w:cs="Calibri"/>
          <w:color w:val="000000"/>
          <w:kern w:val="0"/>
          <w:sz w:val="22"/>
          <w:szCs w:val="22"/>
        </w:rPr>
        <w:tab/>
      </w:r>
      <w:hyperlink w:anchor="DataAnalWorkshop" w:history="1">
        <w:r w:rsidRPr="00276DC8">
          <w:rPr>
            <w:rStyle w:val="Hyperlink"/>
            <w:rFonts w:ascii="Calibri" w:hAnsi="Calibri" w:cs="Calibri"/>
            <w:kern w:val="0"/>
            <w:sz w:val="22"/>
            <w:szCs w:val="22"/>
          </w:rPr>
          <w:t>W.E.B. Dubois Revolutionary Data Portraits</w:t>
        </w:r>
      </w:hyperlink>
      <w:r w:rsidRPr="00276DC8">
        <w:rPr>
          <w:rFonts w:ascii="Calibri" w:hAnsi="Calibri" w:cs="Calibri"/>
          <w:color w:val="000000"/>
          <w:kern w:val="0"/>
          <w:sz w:val="22"/>
          <w:szCs w:val="22"/>
        </w:rPr>
        <w:t xml:space="preserve"> </w:t>
      </w:r>
    </w:p>
    <w:p w14:paraId="7FAE2E71" w14:textId="57634005" w:rsidR="00E22F9F" w:rsidRPr="00276DC8" w:rsidRDefault="00E22F9F" w:rsidP="004F1645">
      <w:pPr>
        <w:autoSpaceDE w:val="0"/>
        <w:autoSpaceDN w:val="0"/>
        <w:adjustRightInd w:val="0"/>
        <w:spacing w:after="0" w:line="240" w:lineRule="auto"/>
        <w:rPr>
          <w:rFonts w:ascii="Calibri" w:hAnsi="Calibri" w:cs="Calibri"/>
          <w:color w:val="000000"/>
          <w:kern w:val="0"/>
          <w:sz w:val="22"/>
          <w:szCs w:val="22"/>
        </w:rPr>
      </w:pPr>
      <w:r w:rsidRPr="00276DC8">
        <w:rPr>
          <w:rFonts w:ascii="Calibri" w:hAnsi="Calibri" w:cs="Calibri"/>
          <w:color w:val="000000"/>
          <w:kern w:val="0"/>
          <w:sz w:val="22"/>
          <w:szCs w:val="22"/>
        </w:rPr>
        <w:tab/>
      </w:r>
      <w:r w:rsidRPr="00276DC8">
        <w:rPr>
          <w:rFonts w:ascii="Calibri" w:hAnsi="Calibri" w:cs="Calibri"/>
          <w:color w:val="000000"/>
          <w:kern w:val="0"/>
          <w:sz w:val="22"/>
          <w:szCs w:val="22"/>
        </w:rPr>
        <w:tab/>
      </w:r>
      <w:hyperlink w:anchor="CareerPanel" w:history="1">
        <w:r w:rsidRPr="00276DC8">
          <w:rPr>
            <w:rStyle w:val="Hyperlink"/>
            <w:rFonts w:ascii="Calibri" w:hAnsi="Calibri" w:cs="Calibri"/>
            <w:kern w:val="0"/>
            <w:sz w:val="22"/>
            <w:szCs w:val="22"/>
          </w:rPr>
          <w:t>Careers in Science Panel</w:t>
        </w:r>
      </w:hyperlink>
    </w:p>
    <w:p w14:paraId="772D102C" w14:textId="147B6D1B" w:rsidR="00F203C8" w:rsidRDefault="00F203C8" w:rsidP="004F1645">
      <w:pPr>
        <w:autoSpaceDE w:val="0"/>
        <w:autoSpaceDN w:val="0"/>
        <w:adjustRightInd w:val="0"/>
        <w:spacing w:after="0" w:line="240" w:lineRule="auto"/>
        <w:rPr>
          <w:rFonts w:ascii="Calibri" w:hAnsi="Calibri" w:cs="Calibri"/>
          <w:color w:val="000000"/>
          <w:kern w:val="0"/>
        </w:rPr>
      </w:pPr>
      <w:hyperlink w:anchor="PosterPresentations" w:history="1">
        <w:r w:rsidRPr="00B25CFE">
          <w:rPr>
            <w:rStyle w:val="Hyperlink"/>
            <w:rFonts w:ascii="Calibri" w:hAnsi="Calibri" w:cs="Calibri"/>
            <w:kern w:val="0"/>
          </w:rPr>
          <w:t>Poster Presentations</w:t>
        </w:r>
      </w:hyperlink>
    </w:p>
    <w:p w14:paraId="429BAE02" w14:textId="7B81EA8A" w:rsidR="00B25CFE" w:rsidRPr="00276DC8" w:rsidRDefault="00B25CFE" w:rsidP="004F1645">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rPr>
        <w:tab/>
      </w:r>
      <w:r>
        <w:rPr>
          <w:rFonts w:ascii="Calibri" w:hAnsi="Calibri" w:cs="Calibri"/>
          <w:color w:val="000000"/>
          <w:kern w:val="0"/>
        </w:rPr>
        <w:tab/>
      </w:r>
      <w:hyperlink w:anchor="PosterPresentationBotZoo" w:history="1">
        <w:r w:rsidRPr="00FE5752">
          <w:rPr>
            <w:rStyle w:val="Hyperlink"/>
            <w:rFonts w:ascii="Calibri" w:hAnsi="Calibri" w:cs="Calibri"/>
            <w:kern w:val="0"/>
            <w:sz w:val="22"/>
            <w:szCs w:val="22"/>
          </w:rPr>
          <w:t>Botany, Zoology, Ecology, &amp; Environmental Science</w:t>
        </w:r>
      </w:hyperlink>
      <w:r w:rsidRPr="00276DC8">
        <w:rPr>
          <w:rFonts w:ascii="Calibri" w:hAnsi="Calibri" w:cs="Calibri"/>
          <w:color w:val="000000"/>
          <w:kern w:val="0"/>
          <w:sz w:val="22"/>
          <w:szCs w:val="22"/>
        </w:rPr>
        <w:t xml:space="preserve"> </w:t>
      </w:r>
    </w:p>
    <w:p w14:paraId="5C960DA8" w14:textId="2D87FF81" w:rsidR="00B25CFE" w:rsidRPr="00276DC8" w:rsidRDefault="00B25CFE" w:rsidP="004F1645">
      <w:pPr>
        <w:autoSpaceDE w:val="0"/>
        <w:autoSpaceDN w:val="0"/>
        <w:adjustRightInd w:val="0"/>
        <w:spacing w:after="0" w:line="240" w:lineRule="auto"/>
        <w:rPr>
          <w:rFonts w:ascii="Calibri" w:hAnsi="Calibri" w:cs="Calibri"/>
          <w:color w:val="000000"/>
          <w:kern w:val="0"/>
          <w:sz w:val="22"/>
          <w:szCs w:val="22"/>
        </w:rPr>
      </w:pPr>
      <w:r w:rsidRPr="00276DC8">
        <w:rPr>
          <w:rFonts w:ascii="Calibri" w:hAnsi="Calibri" w:cs="Calibri"/>
          <w:color w:val="000000"/>
          <w:kern w:val="0"/>
          <w:sz w:val="22"/>
          <w:szCs w:val="22"/>
        </w:rPr>
        <w:tab/>
      </w:r>
      <w:r w:rsidRPr="00276DC8">
        <w:rPr>
          <w:rFonts w:ascii="Calibri" w:hAnsi="Calibri" w:cs="Calibri"/>
          <w:color w:val="000000"/>
          <w:kern w:val="0"/>
          <w:sz w:val="22"/>
          <w:szCs w:val="22"/>
        </w:rPr>
        <w:tab/>
      </w:r>
      <w:hyperlink w:anchor="PosterPresentationChmBiochm" w:history="1">
        <w:r w:rsidRPr="00267562">
          <w:rPr>
            <w:rStyle w:val="Hyperlink"/>
            <w:rFonts w:ascii="Calibri" w:hAnsi="Calibri" w:cs="Calibri"/>
            <w:kern w:val="0"/>
            <w:sz w:val="22"/>
            <w:szCs w:val="22"/>
          </w:rPr>
          <w:t>Chemistry, Biochemistry, &amp; Science Education</w:t>
        </w:r>
      </w:hyperlink>
    </w:p>
    <w:p w14:paraId="1D10A4DE" w14:textId="5BF013E4" w:rsidR="008D3243" w:rsidRDefault="00B25CFE" w:rsidP="00B25CFE">
      <w:pPr>
        <w:autoSpaceDE w:val="0"/>
        <w:autoSpaceDN w:val="0"/>
        <w:adjustRightInd w:val="0"/>
        <w:spacing w:after="0" w:line="240" w:lineRule="auto"/>
        <w:rPr>
          <w:rFonts w:ascii="Calibri" w:hAnsi="Calibri" w:cs="Calibri"/>
          <w:color w:val="000000"/>
          <w:kern w:val="0"/>
          <w:sz w:val="22"/>
          <w:szCs w:val="22"/>
        </w:rPr>
      </w:pPr>
      <w:r w:rsidRPr="00276DC8">
        <w:rPr>
          <w:rFonts w:ascii="Calibri" w:hAnsi="Calibri" w:cs="Calibri"/>
          <w:color w:val="000000"/>
          <w:kern w:val="0"/>
          <w:sz w:val="22"/>
          <w:szCs w:val="22"/>
        </w:rPr>
        <w:tab/>
      </w:r>
      <w:r w:rsidRPr="00276DC8">
        <w:rPr>
          <w:rFonts w:ascii="Calibri" w:hAnsi="Calibri" w:cs="Calibri"/>
          <w:color w:val="000000"/>
          <w:kern w:val="0"/>
          <w:sz w:val="22"/>
          <w:szCs w:val="22"/>
        </w:rPr>
        <w:tab/>
      </w:r>
      <w:hyperlink w:anchor="PosterPresentationMicroCellMolecPhysBiot" w:history="1">
        <w:r w:rsidRPr="00267562">
          <w:rPr>
            <w:rStyle w:val="Hyperlink"/>
            <w:rFonts w:ascii="Calibri" w:hAnsi="Calibri" w:cs="Calibri"/>
            <w:kern w:val="0"/>
            <w:sz w:val="22"/>
            <w:szCs w:val="22"/>
          </w:rPr>
          <w:t>Microbiology, Cell Biology, Molecular Biology, Physiology  &amp;</w:t>
        </w:r>
        <w:r w:rsidR="008D3243" w:rsidRPr="00267562">
          <w:rPr>
            <w:rStyle w:val="Hyperlink"/>
            <w:rFonts w:ascii="Calibri" w:hAnsi="Calibri" w:cs="Calibri"/>
            <w:kern w:val="0"/>
            <w:sz w:val="22"/>
            <w:szCs w:val="22"/>
          </w:rPr>
          <w:t xml:space="preserve"> Biotechnology</w:t>
        </w:r>
      </w:hyperlink>
    </w:p>
    <w:p w14:paraId="4E417758" w14:textId="485D1156" w:rsidR="007F4A6C" w:rsidRDefault="008D3243" w:rsidP="004F1645">
      <w:pPr>
        <w:autoSpaceDE w:val="0"/>
        <w:autoSpaceDN w:val="0"/>
        <w:adjustRightInd w:val="0"/>
        <w:spacing w:after="0" w:line="240" w:lineRule="auto"/>
        <w:rPr>
          <w:rFonts w:ascii="Calibri" w:hAnsi="Calibri" w:cs="Calibri"/>
          <w:color w:val="000000"/>
          <w:kern w:val="0"/>
        </w:rPr>
      </w:pPr>
      <w:r>
        <w:rPr>
          <w:rFonts w:ascii="Calibri" w:hAnsi="Calibri" w:cs="Calibri"/>
          <w:color w:val="000000"/>
          <w:kern w:val="0"/>
        </w:rPr>
        <w:tab/>
      </w:r>
      <w:r>
        <w:rPr>
          <w:rFonts w:ascii="Calibri" w:hAnsi="Calibri" w:cs="Calibri"/>
          <w:color w:val="000000"/>
          <w:kern w:val="0"/>
        </w:rPr>
        <w:tab/>
      </w:r>
      <w:hyperlink w:anchor="PosterPresentationPhyAstEng" w:history="1">
        <w:r w:rsidRPr="00267562">
          <w:rPr>
            <w:rStyle w:val="Hyperlink"/>
            <w:rFonts w:ascii="Calibri" w:hAnsi="Calibri" w:cs="Calibri"/>
            <w:kern w:val="0"/>
          </w:rPr>
          <w:t xml:space="preserve">Physics, Astronomy, </w:t>
        </w:r>
        <w:r w:rsidRPr="00267562">
          <w:rPr>
            <w:rStyle w:val="Hyperlink"/>
            <w:rFonts w:ascii="Calibri" w:hAnsi="Calibri" w:cs="Calibri"/>
            <w:kern w:val="0"/>
            <w:sz w:val="22"/>
            <w:szCs w:val="22"/>
          </w:rPr>
          <w:t xml:space="preserve">&amp; </w:t>
        </w:r>
        <w:r w:rsidRPr="00267562">
          <w:rPr>
            <w:rStyle w:val="Hyperlink"/>
            <w:rFonts w:ascii="Calibri" w:hAnsi="Calibri" w:cs="Calibri"/>
            <w:kern w:val="0"/>
          </w:rPr>
          <w:t>Engineering</w:t>
        </w:r>
      </w:hyperlink>
    </w:p>
    <w:p w14:paraId="7342F2A3" w14:textId="4D503A56" w:rsidR="00F203C8" w:rsidRDefault="00F203C8" w:rsidP="004F1645">
      <w:pPr>
        <w:autoSpaceDE w:val="0"/>
        <w:autoSpaceDN w:val="0"/>
        <w:adjustRightInd w:val="0"/>
        <w:spacing w:after="0" w:line="240" w:lineRule="auto"/>
        <w:rPr>
          <w:rFonts w:ascii="Calibri" w:hAnsi="Calibri" w:cs="Calibri"/>
          <w:color w:val="000000"/>
          <w:kern w:val="0"/>
        </w:rPr>
      </w:pPr>
      <w:hyperlink w:anchor="OralPresentations" w:history="1">
        <w:r w:rsidRPr="00BB05BD">
          <w:rPr>
            <w:rStyle w:val="Hyperlink"/>
            <w:rFonts w:ascii="Calibri" w:hAnsi="Calibri" w:cs="Calibri"/>
            <w:kern w:val="0"/>
          </w:rPr>
          <w:t>Oral Presentations</w:t>
        </w:r>
      </w:hyperlink>
    </w:p>
    <w:p w14:paraId="6142534E" w14:textId="3B331734" w:rsidR="008A414B" w:rsidRPr="00356294" w:rsidRDefault="00D97538" w:rsidP="004F1645">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rPr>
        <w:tab/>
      </w:r>
      <w:r>
        <w:rPr>
          <w:rFonts w:ascii="Calibri" w:hAnsi="Calibri" w:cs="Calibri"/>
          <w:color w:val="000000"/>
          <w:kern w:val="0"/>
        </w:rPr>
        <w:tab/>
      </w:r>
      <w:hyperlink w:anchor="OralPresentationMicroCellMolec1" w:history="1">
        <w:r w:rsidRPr="00BB05BD">
          <w:rPr>
            <w:rStyle w:val="Hyperlink"/>
            <w:rFonts w:ascii="Calibri" w:hAnsi="Calibri" w:cs="Calibri"/>
            <w:kern w:val="0"/>
            <w:sz w:val="22"/>
            <w:szCs w:val="22"/>
          </w:rPr>
          <w:t>Microbiology, Cell Biology, Molecular Biology I</w:t>
        </w:r>
      </w:hyperlink>
    </w:p>
    <w:p w14:paraId="6BD9A2FA" w14:textId="124780DE" w:rsidR="00C02BCA" w:rsidRPr="00356294" w:rsidRDefault="00C02BCA" w:rsidP="004F1645">
      <w:pPr>
        <w:autoSpaceDE w:val="0"/>
        <w:autoSpaceDN w:val="0"/>
        <w:adjustRightInd w:val="0"/>
        <w:spacing w:after="0" w:line="240" w:lineRule="auto"/>
        <w:rPr>
          <w:rFonts w:ascii="Calibri" w:hAnsi="Calibri" w:cs="Calibri"/>
          <w:color w:val="000000"/>
          <w:kern w:val="0"/>
          <w:sz w:val="22"/>
          <w:szCs w:val="22"/>
        </w:rPr>
      </w:pPr>
      <w:r w:rsidRPr="00356294">
        <w:rPr>
          <w:rFonts w:ascii="Calibri" w:hAnsi="Calibri" w:cs="Calibri"/>
          <w:color w:val="000000"/>
          <w:kern w:val="0"/>
          <w:sz w:val="22"/>
          <w:szCs w:val="22"/>
        </w:rPr>
        <w:tab/>
      </w:r>
      <w:r w:rsidRPr="00356294">
        <w:rPr>
          <w:rFonts w:ascii="Calibri" w:hAnsi="Calibri" w:cs="Calibri"/>
          <w:color w:val="000000"/>
          <w:kern w:val="0"/>
          <w:sz w:val="22"/>
          <w:szCs w:val="22"/>
        </w:rPr>
        <w:tab/>
      </w:r>
      <w:hyperlink w:anchor="OralPresentationBotZooEcoEnvSci" w:history="1">
        <w:r w:rsidRPr="00BB05BD">
          <w:rPr>
            <w:rStyle w:val="Hyperlink"/>
            <w:rFonts w:ascii="Calibri" w:hAnsi="Calibri" w:cs="Calibri"/>
            <w:kern w:val="0"/>
            <w:sz w:val="22"/>
            <w:szCs w:val="22"/>
          </w:rPr>
          <w:t>Botany, Zoology, Ecology, &amp; Environmental Science I</w:t>
        </w:r>
      </w:hyperlink>
    </w:p>
    <w:p w14:paraId="6E6D7214" w14:textId="5D2128DB" w:rsidR="00C02BCA" w:rsidRDefault="00C02BCA" w:rsidP="004F1645">
      <w:pPr>
        <w:autoSpaceDE w:val="0"/>
        <w:autoSpaceDN w:val="0"/>
        <w:adjustRightInd w:val="0"/>
        <w:spacing w:after="0" w:line="240" w:lineRule="auto"/>
        <w:rPr>
          <w:rFonts w:ascii="Calibri" w:hAnsi="Calibri" w:cs="Calibri"/>
          <w:noProof/>
          <w:sz w:val="22"/>
          <w:szCs w:val="22"/>
        </w:rPr>
      </w:pPr>
      <w:r w:rsidRPr="00356294">
        <w:rPr>
          <w:rFonts w:ascii="Calibri" w:hAnsi="Calibri" w:cs="Calibri"/>
          <w:color w:val="000000"/>
          <w:kern w:val="0"/>
          <w:sz w:val="22"/>
          <w:szCs w:val="22"/>
        </w:rPr>
        <w:tab/>
      </w:r>
      <w:r w:rsidRPr="00356294">
        <w:rPr>
          <w:rFonts w:ascii="Calibri" w:hAnsi="Calibri" w:cs="Calibri"/>
          <w:color w:val="000000"/>
          <w:kern w:val="0"/>
          <w:sz w:val="22"/>
          <w:szCs w:val="22"/>
        </w:rPr>
        <w:tab/>
      </w:r>
      <w:hyperlink w:anchor="OralPresentationChmBiochmSciEd" w:history="1">
        <w:r w:rsidRPr="00BB05BD">
          <w:rPr>
            <w:rStyle w:val="Hyperlink"/>
            <w:rFonts w:ascii="Calibri" w:hAnsi="Calibri" w:cs="Calibri"/>
            <w:noProof/>
            <w:sz w:val="22"/>
            <w:szCs w:val="22"/>
          </w:rPr>
          <w:t>Chemistry, Biochemistry, &amp; Science Education</w:t>
        </w:r>
      </w:hyperlink>
    </w:p>
    <w:p w14:paraId="7A5460D2" w14:textId="77019AA1" w:rsidR="00356294" w:rsidRDefault="00356294" w:rsidP="004F1645">
      <w:pPr>
        <w:autoSpaceDE w:val="0"/>
        <w:autoSpaceDN w:val="0"/>
        <w:adjustRightInd w:val="0"/>
        <w:spacing w:after="0" w:line="240" w:lineRule="auto"/>
        <w:rPr>
          <w:rFonts w:ascii="Calibri" w:hAnsi="Calibri" w:cs="Calibri"/>
          <w:noProof/>
          <w:sz w:val="22"/>
          <w:szCs w:val="22"/>
        </w:rPr>
      </w:pPr>
      <w:r>
        <w:rPr>
          <w:rFonts w:ascii="Calibri" w:hAnsi="Calibri" w:cs="Calibri"/>
          <w:noProof/>
          <w:sz w:val="22"/>
          <w:szCs w:val="22"/>
        </w:rPr>
        <w:tab/>
      </w:r>
      <w:r>
        <w:rPr>
          <w:rFonts w:ascii="Calibri" w:hAnsi="Calibri" w:cs="Calibri"/>
          <w:noProof/>
          <w:sz w:val="22"/>
          <w:szCs w:val="22"/>
        </w:rPr>
        <w:tab/>
      </w:r>
      <w:hyperlink w:anchor="OralPresentationPhysBiotech" w:history="1">
        <w:r w:rsidRPr="00BB05BD">
          <w:rPr>
            <w:rStyle w:val="Hyperlink"/>
            <w:rFonts w:ascii="Calibri" w:hAnsi="Calibri" w:cs="Calibri"/>
            <w:noProof/>
            <w:sz w:val="22"/>
            <w:szCs w:val="22"/>
          </w:rPr>
          <w:t>Physiology  &amp; Biotechnology</w:t>
        </w:r>
      </w:hyperlink>
    </w:p>
    <w:p w14:paraId="11EBD789" w14:textId="5BED70EC" w:rsidR="00356294" w:rsidRDefault="00356294" w:rsidP="004F1645">
      <w:pPr>
        <w:autoSpaceDE w:val="0"/>
        <w:autoSpaceDN w:val="0"/>
        <w:adjustRightInd w:val="0"/>
        <w:spacing w:after="0" w:line="240" w:lineRule="auto"/>
        <w:rPr>
          <w:rFonts w:ascii="Calibri" w:hAnsi="Calibri" w:cs="Calibri"/>
          <w:noProof/>
          <w:sz w:val="22"/>
          <w:szCs w:val="22"/>
        </w:rPr>
      </w:pPr>
      <w:r>
        <w:rPr>
          <w:rFonts w:ascii="Calibri" w:hAnsi="Calibri" w:cs="Calibri"/>
          <w:noProof/>
          <w:sz w:val="22"/>
          <w:szCs w:val="22"/>
        </w:rPr>
        <w:tab/>
      </w:r>
      <w:r>
        <w:rPr>
          <w:rFonts w:ascii="Calibri" w:hAnsi="Calibri" w:cs="Calibri"/>
          <w:noProof/>
          <w:sz w:val="22"/>
          <w:szCs w:val="22"/>
        </w:rPr>
        <w:tab/>
      </w:r>
      <w:hyperlink w:anchor="OralPresentationMicroCellMolecBio2" w:history="1">
        <w:r w:rsidRPr="00BB05BD">
          <w:rPr>
            <w:rStyle w:val="Hyperlink"/>
            <w:rFonts w:ascii="Calibri" w:hAnsi="Calibri" w:cs="Calibri"/>
            <w:noProof/>
            <w:sz w:val="22"/>
            <w:szCs w:val="22"/>
          </w:rPr>
          <w:t>Microbiology, Cell Biology, Molecular Biology II</w:t>
        </w:r>
      </w:hyperlink>
    </w:p>
    <w:p w14:paraId="277F2DDF" w14:textId="038EBC5E" w:rsidR="00356294" w:rsidRPr="00356294" w:rsidRDefault="00356294" w:rsidP="004F1645">
      <w:pPr>
        <w:autoSpaceDE w:val="0"/>
        <w:autoSpaceDN w:val="0"/>
        <w:adjustRightInd w:val="0"/>
        <w:spacing w:after="0" w:line="240" w:lineRule="auto"/>
        <w:rPr>
          <w:rFonts w:ascii="Calibri" w:hAnsi="Calibri" w:cs="Calibri"/>
          <w:color w:val="000000"/>
          <w:kern w:val="0"/>
          <w:sz w:val="22"/>
          <w:szCs w:val="22"/>
        </w:rPr>
      </w:pPr>
      <w:r>
        <w:rPr>
          <w:rFonts w:ascii="Calibri" w:hAnsi="Calibri" w:cs="Calibri"/>
          <w:noProof/>
          <w:sz w:val="22"/>
          <w:szCs w:val="22"/>
        </w:rPr>
        <w:tab/>
      </w:r>
      <w:r>
        <w:rPr>
          <w:rFonts w:ascii="Calibri" w:hAnsi="Calibri" w:cs="Calibri"/>
          <w:noProof/>
          <w:sz w:val="22"/>
          <w:szCs w:val="22"/>
        </w:rPr>
        <w:tab/>
      </w:r>
      <w:hyperlink w:anchor="OralPresentationBotZooEcoEnvSci2" w:history="1">
        <w:r w:rsidRPr="00BB05BD">
          <w:rPr>
            <w:rStyle w:val="Hyperlink"/>
            <w:rFonts w:ascii="Calibri" w:hAnsi="Calibri" w:cs="Calibri"/>
            <w:noProof/>
            <w:sz w:val="22"/>
            <w:szCs w:val="22"/>
          </w:rPr>
          <w:t>Botany, Zoology, Ecology, &amp; Environmental Science II</w:t>
        </w:r>
      </w:hyperlink>
    </w:p>
    <w:p w14:paraId="0A8CD1D5" w14:textId="38166EA6" w:rsidR="00D97538" w:rsidRPr="007F4A6C" w:rsidRDefault="00D97538" w:rsidP="004F1645">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sz w:val="22"/>
          <w:szCs w:val="22"/>
        </w:rPr>
        <w:tab/>
      </w:r>
      <w:r>
        <w:rPr>
          <w:rFonts w:ascii="Calibri" w:hAnsi="Calibri" w:cs="Calibri"/>
          <w:color w:val="000000"/>
          <w:kern w:val="0"/>
          <w:sz w:val="22"/>
          <w:szCs w:val="22"/>
        </w:rPr>
        <w:tab/>
      </w:r>
      <w:hyperlink w:anchor="OralPresentationMthStatCS" w:history="1">
        <w:r w:rsidR="00B15105" w:rsidRPr="00BB05BD">
          <w:rPr>
            <w:rStyle w:val="Hyperlink"/>
            <w:rFonts w:ascii="Calibri" w:hAnsi="Calibri" w:cs="Calibri"/>
            <w:noProof/>
            <w:sz w:val="22"/>
            <w:szCs w:val="22"/>
          </w:rPr>
          <w:t>Mathematics, Statistics &amp; Computer Science</w:t>
        </w:r>
      </w:hyperlink>
    </w:p>
    <w:p w14:paraId="768E4E89" w14:textId="19BF55E7" w:rsidR="00F203C8" w:rsidRDefault="00F203C8" w:rsidP="004F1645">
      <w:pPr>
        <w:autoSpaceDE w:val="0"/>
        <w:autoSpaceDN w:val="0"/>
        <w:adjustRightInd w:val="0"/>
        <w:spacing w:after="0" w:line="240" w:lineRule="auto"/>
        <w:rPr>
          <w:rFonts w:ascii="Calibri" w:hAnsi="Calibri" w:cs="Calibri"/>
          <w:color w:val="000000"/>
          <w:kern w:val="0"/>
        </w:rPr>
      </w:pPr>
      <w:hyperlink w:anchor="KOBCFloorPlan" w:history="1">
        <w:r w:rsidRPr="00BB05BD">
          <w:rPr>
            <w:rStyle w:val="Hyperlink"/>
            <w:rFonts w:ascii="Calibri" w:hAnsi="Calibri" w:cs="Calibri"/>
            <w:kern w:val="0"/>
          </w:rPr>
          <w:t>Koury Business Center Floor Plans</w:t>
        </w:r>
      </w:hyperlink>
    </w:p>
    <w:p w14:paraId="419A0158" w14:textId="079B40EB" w:rsidR="00F203C8" w:rsidRDefault="00F203C8" w:rsidP="004F1645">
      <w:pPr>
        <w:autoSpaceDE w:val="0"/>
        <w:autoSpaceDN w:val="0"/>
        <w:adjustRightInd w:val="0"/>
        <w:spacing w:after="0" w:line="240" w:lineRule="auto"/>
        <w:rPr>
          <w:rFonts w:ascii="Calibri" w:hAnsi="Calibri" w:cs="Calibri"/>
          <w:color w:val="000000"/>
          <w:kern w:val="0"/>
        </w:rPr>
      </w:pPr>
      <w:hyperlink w:anchor="Campusmapparking" w:history="1">
        <w:r w:rsidRPr="008B49EC">
          <w:rPr>
            <w:rStyle w:val="Hyperlink"/>
            <w:rFonts w:ascii="Calibri" w:hAnsi="Calibri" w:cs="Calibri"/>
            <w:kern w:val="0"/>
          </w:rPr>
          <w:t>Campus Map</w:t>
        </w:r>
        <w:r w:rsidR="008B49EC" w:rsidRPr="008B49EC">
          <w:rPr>
            <w:rStyle w:val="Hyperlink"/>
            <w:rFonts w:ascii="Calibri" w:hAnsi="Calibri" w:cs="Calibri"/>
            <w:kern w:val="0"/>
          </w:rPr>
          <w:t xml:space="preserve"> and Parking</w:t>
        </w:r>
      </w:hyperlink>
    </w:p>
    <w:p w14:paraId="1DC0F9CB" w14:textId="7D33B3D5" w:rsidR="00E22F9F" w:rsidRDefault="00C5392E" w:rsidP="004F1645">
      <w:pPr>
        <w:autoSpaceDE w:val="0"/>
        <w:autoSpaceDN w:val="0"/>
        <w:adjustRightInd w:val="0"/>
        <w:spacing w:after="0" w:line="240" w:lineRule="auto"/>
        <w:rPr>
          <w:rFonts w:ascii="Calibri" w:hAnsi="Calibri" w:cs="Calibri"/>
          <w:color w:val="000000"/>
          <w:kern w:val="0"/>
        </w:rPr>
      </w:pPr>
      <w:hyperlink w:anchor="OralAbstracts" w:history="1">
        <w:r w:rsidRPr="00EA497A">
          <w:rPr>
            <w:rStyle w:val="Hyperlink"/>
            <w:rFonts w:ascii="Calibri" w:hAnsi="Calibri" w:cs="Calibri"/>
            <w:kern w:val="0"/>
          </w:rPr>
          <w:t>Abstracts</w:t>
        </w:r>
      </w:hyperlink>
    </w:p>
    <w:p w14:paraId="2FBC5AA3" w14:textId="2A0E5069" w:rsidR="00A854C6" w:rsidRPr="00B30356" w:rsidRDefault="008C15A8" w:rsidP="004F1645">
      <w:pPr>
        <w:autoSpaceDE w:val="0"/>
        <w:autoSpaceDN w:val="0"/>
        <w:adjustRightInd w:val="0"/>
        <w:spacing w:after="0" w:line="240" w:lineRule="auto"/>
      </w:pPr>
      <w:r>
        <w:rPr>
          <w:rFonts w:ascii="Calibri" w:hAnsi="Calibri" w:cs="Calibri"/>
          <w:color w:val="000000"/>
          <w:kern w:val="0"/>
        </w:rPr>
        <w:tab/>
      </w:r>
      <w:r>
        <w:rPr>
          <w:rFonts w:ascii="Calibri" w:hAnsi="Calibri" w:cs="Calibri"/>
          <w:color w:val="000000"/>
          <w:kern w:val="0"/>
        </w:rPr>
        <w:tab/>
      </w:r>
      <w:hyperlink w:anchor="OralAbstracts" w:history="1">
        <w:r w:rsidRPr="00EA497A">
          <w:rPr>
            <w:rStyle w:val="Hyperlink"/>
            <w:rFonts w:ascii="Calibri" w:hAnsi="Calibri" w:cs="Calibri"/>
            <w:kern w:val="0"/>
            <w:sz w:val="22"/>
            <w:szCs w:val="22"/>
          </w:rPr>
          <w:t>Poster Abstra</w:t>
        </w:r>
        <w:r w:rsidRPr="00EA497A">
          <w:rPr>
            <w:rStyle w:val="Hyperlink"/>
            <w:rFonts w:ascii="Calibri" w:hAnsi="Calibri" w:cs="Calibri"/>
            <w:kern w:val="0"/>
            <w:sz w:val="22"/>
            <w:szCs w:val="22"/>
          </w:rPr>
          <w:t>c</w:t>
        </w:r>
        <w:r w:rsidRPr="00EA497A">
          <w:rPr>
            <w:rStyle w:val="Hyperlink"/>
            <w:rFonts w:ascii="Calibri" w:hAnsi="Calibri" w:cs="Calibri"/>
            <w:kern w:val="0"/>
            <w:sz w:val="22"/>
            <w:szCs w:val="22"/>
          </w:rPr>
          <w:t>ts</w:t>
        </w:r>
      </w:hyperlink>
    </w:p>
    <w:p w14:paraId="79C91B70" w14:textId="384513E6" w:rsidR="008C15A8" w:rsidRPr="008C15A8" w:rsidRDefault="008C15A8" w:rsidP="004F1645">
      <w:pPr>
        <w:autoSpaceDE w:val="0"/>
        <w:autoSpaceDN w:val="0"/>
        <w:adjustRightInd w:val="0"/>
        <w:spacing w:after="0" w:line="240" w:lineRule="auto"/>
        <w:rPr>
          <w:rFonts w:ascii="Calibri" w:hAnsi="Calibri" w:cs="Calibri"/>
          <w:color w:val="000000"/>
          <w:kern w:val="0"/>
          <w:sz w:val="22"/>
          <w:szCs w:val="22"/>
        </w:rPr>
      </w:pPr>
      <w:r w:rsidRPr="008C15A8">
        <w:rPr>
          <w:rFonts w:ascii="Calibri" w:hAnsi="Calibri" w:cs="Calibri"/>
          <w:color w:val="000000"/>
          <w:kern w:val="0"/>
          <w:sz w:val="22"/>
          <w:szCs w:val="22"/>
        </w:rPr>
        <w:tab/>
      </w:r>
      <w:r w:rsidRPr="008C15A8">
        <w:rPr>
          <w:rFonts w:ascii="Calibri" w:hAnsi="Calibri" w:cs="Calibri"/>
          <w:color w:val="000000"/>
          <w:kern w:val="0"/>
          <w:sz w:val="22"/>
          <w:szCs w:val="22"/>
        </w:rPr>
        <w:tab/>
      </w:r>
      <w:hyperlink w:anchor="OralAbstracts" w:history="1">
        <w:r w:rsidRPr="00EA497A">
          <w:rPr>
            <w:rStyle w:val="Hyperlink"/>
            <w:rFonts w:ascii="Calibri" w:hAnsi="Calibri" w:cs="Calibri"/>
            <w:kern w:val="0"/>
            <w:sz w:val="22"/>
            <w:szCs w:val="22"/>
          </w:rPr>
          <w:t>Oral Abstracts</w:t>
        </w:r>
      </w:hyperlink>
    </w:p>
    <w:p w14:paraId="72A16BA2" w14:textId="77777777" w:rsidR="00E22F9F" w:rsidRDefault="00E22F9F" w:rsidP="004F1645">
      <w:pPr>
        <w:autoSpaceDE w:val="0"/>
        <w:autoSpaceDN w:val="0"/>
        <w:adjustRightInd w:val="0"/>
        <w:spacing w:after="0" w:line="240" w:lineRule="auto"/>
        <w:rPr>
          <w:rFonts w:ascii="Calibri" w:hAnsi="Calibri" w:cs="Calibri"/>
          <w:color w:val="000000"/>
          <w:kern w:val="0"/>
        </w:rPr>
      </w:pPr>
    </w:p>
    <w:p w14:paraId="4D6518E4" w14:textId="77777777" w:rsidR="004F1645" w:rsidRPr="004F1645" w:rsidRDefault="004F1645" w:rsidP="004F1645">
      <w:pPr>
        <w:autoSpaceDE w:val="0"/>
        <w:autoSpaceDN w:val="0"/>
        <w:adjustRightInd w:val="0"/>
        <w:spacing w:after="0" w:line="240" w:lineRule="auto"/>
        <w:rPr>
          <w:rFonts w:ascii="Calibri" w:hAnsi="Calibri" w:cs="Calibri"/>
          <w:color w:val="000000"/>
          <w:kern w:val="0"/>
        </w:rPr>
      </w:pPr>
    </w:p>
    <w:p w14:paraId="34E78416" w14:textId="77777777" w:rsidR="00BC2BB8" w:rsidRDefault="00BC2BB8" w:rsidP="003701A9">
      <w:pPr>
        <w:autoSpaceDE w:val="0"/>
        <w:autoSpaceDN w:val="0"/>
        <w:adjustRightInd w:val="0"/>
        <w:spacing w:after="0" w:line="240" w:lineRule="auto"/>
        <w:jc w:val="center"/>
        <w:rPr>
          <w:rFonts w:ascii="Calibri" w:hAnsi="Calibri" w:cs="Calibri"/>
          <w:b/>
          <w:bCs/>
          <w:color w:val="000000"/>
          <w:kern w:val="0"/>
          <w:sz w:val="28"/>
          <w:szCs w:val="28"/>
        </w:rPr>
      </w:pPr>
    </w:p>
    <w:p w14:paraId="79CC3E5F"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2CA491D1"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42455B1C"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1A706AD7"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7F2E9884"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7E92839A"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5CA93FF2" w14:textId="77777777" w:rsidR="00EA497A" w:rsidRDefault="00EA497A" w:rsidP="003701A9">
      <w:pPr>
        <w:autoSpaceDE w:val="0"/>
        <w:autoSpaceDN w:val="0"/>
        <w:adjustRightInd w:val="0"/>
        <w:spacing w:after="0" w:line="240" w:lineRule="auto"/>
        <w:jc w:val="center"/>
        <w:rPr>
          <w:rFonts w:ascii="Calibri" w:hAnsi="Calibri" w:cs="Calibri"/>
          <w:b/>
          <w:bCs/>
          <w:color w:val="000000"/>
          <w:kern w:val="0"/>
          <w:sz w:val="28"/>
          <w:szCs w:val="28"/>
        </w:rPr>
      </w:pPr>
    </w:p>
    <w:p w14:paraId="18D79A25"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3DB5EE3D"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09077B4F"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73976191" w14:textId="77777777" w:rsidR="001757EC" w:rsidRDefault="001757EC" w:rsidP="003701A9">
      <w:pPr>
        <w:autoSpaceDE w:val="0"/>
        <w:autoSpaceDN w:val="0"/>
        <w:adjustRightInd w:val="0"/>
        <w:spacing w:after="0" w:line="240" w:lineRule="auto"/>
        <w:jc w:val="center"/>
        <w:rPr>
          <w:rFonts w:ascii="Calibri" w:hAnsi="Calibri" w:cs="Calibri"/>
          <w:b/>
          <w:bCs/>
          <w:color w:val="000000"/>
          <w:kern w:val="0"/>
          <w:sz w:val="28"/>
          <w:szCs w:val="28"/>
        </w:rPr>
      </w:pPr>
    </w:p>
    <w:p w14:paraId="7A955498" w14:textId="77777777" w:rsidR="005B129F" w:rsidRDefault="005B129F" w:rsidP="003701A9">
      <w:pPr>
        <w:autoSpaceDE w:val="0"/>
        <w:autoSpaceDN w:val="0"/>
        <w:adjustRightInd w:val="0"/>
        <w:spacing w:after="0" w:line="240" w:lineRule="auto"/>
        <w:jc w:val="center"/>
        <w:rPr>
          <w:rFonts w:ascii="Calibri" w:hAnsi="Calibri" w:cs="Calibri"/>
          <w:b/>
          <w:bCs/>
          <w:color w:val="000000"/>
          <w:kern w:val="0"/>
          <w:sz w:val="28"/>
          <w:szCs w:val="28"/>
        </w:rPr>
      </w:pPr>
    </w:p>
    <w:p w14:paraId="05FD7324" w14:textId="07F77CE4" w:rsidR="005B129F" w:rsidRPr="00B40F99" w:rsidRDefault="005B129F" w:rsidP="005B129F">
      <w:pPr>
        <w:autoSpaceDE w:val="0"/>
        <w:autoSpaceDN w:val="0"/>
        <w:adjustRightInd w:val="0"/>
        <w:spacing w:after="0" w:line="240" w:lineRule="auto"/>
        <w:jc w:val="center"/>
        <w:rPr>
          <w:rFonts w:ascii="Calibri" w:hAnsi="Calibri" w:cs="Calibri"/>
          <w:b/>
          <w:bCs/>
          <w:color w:val="000000"/>
          <w:kern w:val="0"/>
          <w:sz w:val="28"/>
          <w:szCs w:val="28"/>
        </w:rPr>
      </w:pPr>
      <w:bookmarkStart w:id="1" w:name="WL"/>
      <w:r w:rsidRPr="00BF11A6">
        <w:rPr>
          <w:rFonts w:ascii="Calibri" w:hAnsi="Calibri" w:cs="Calibri"/>
          <w:b/>
          <w:bCs/>
          <w:color w:val="000000"/>
          <w:kern w:val="0"/>
          <w:sz w:val="28"/>
          <w:szCs w:val="28"/>
        </w:rPr>
        <w:lastRenderedPageBreak/>
        <w:t>Welcome to the North Carolina Academy of Science 122</w:t>
      </w:r>
      <w:r w:rsidRPr="00BF11A6">
        <w:rPr>
          <w:rFonts w:ascii="Calibri" w:hAnsi="Calibri" w:cs="Calibri"/>
          <w:b/>
          <w:bCs/>
          <w:color w:val="000000"/>
          <w:kern w:val="0"/>
          <w:sz w:val="28"/>
          <w:szCs w:val="28"/>
          <w:vertAlign w:val="superscript"/>
        </w:rPr>
        <w:t>nd</w:t>
      </w:r>
      <w:r w:rsidRPr="00BF11A6">
        <w:rPr>
          <w:rFonts w:ascii="Calibri" w:hAnsi="Calibri" w:cs="Calibri"/>
          <w:b/>
          <w:bCs/>
          <w:color w:val="000000"/>
          <w:kern w:val="0"/>
          <w:sz w:val="28"/>
          <w:szCs w:val="28"/>
        </w:rPr>
        <w:t xml:space="preserve"> Annual Meeting!!</w:t>
      </w:r>
    </w:p>
    <w:bookmarkEnd w:id="1"/>
    <w:p w14:paraId="6736D849" w14:textId="77777777" w:rsidR="005B129F" w:rsidRPr="0016668A" w:rsidRDefault="005B129F" w:rsidP="005B129F">
      <w:pPr>
        <w:autoSpaceDE w:val="0"/>
        <w:autoSpaceDN w:val="0"/>
        <w:adjustRightInd w:val="0"/>
        <w:spacing w:after="0" w:line="240" w:lineRule="auto"/>
        <w:rPr>
          <w:rFonts w:ascii="Calibri" w:hAnsi="Calibri" w:cs="Calibri"/>
          <w:b/>
          <w:bCs/>
          <w:color w:val="000000"/>
          <w:kern w:val="0"/>
          <w:sz w:val="22"/>
          <w:szCs w:val="22"/>
        </w:rPr>
      </w:pPr>
    </w:p>
    <w:p w14:paraId="3E1448CE" w14:textId="703BBF5B" w:rsidR="005B129F" w:rsidRPr="0016668A" w:rsidRDefault="00747EF0" w:rsidP="005B129F">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sz w:val="22"/>
          <w:szCs w:val="22"/>
        </w:rPr>
        <w:t xml:space="preserve">     </w:t>
      </w:r>
      <w:r w:rsidR="005B129F" w:rsidRPr="0016668A">
        <w:rPr>
          <w:rFonts w:ascii="Calibri" w:hAnsi="Calibri" w:cs="Calibri"/>
          <w:color w:val="000000"/>
          <w:kern w:val="0"/>
          <w:sz w:val="22"/>
          <w:szCs w:val="22"/>
        </w:rPr>
        <w:t xml:space="preserve">We are so happy that you could join us for this special gathering of undergraduate and graduate students, college and university faculty members, and career scientists on the Elon University campus as we share our excitement for scientific research.  The theme for this meeting is “Science Innovation:  Making Interdisciplinary Connections,” and the Local Arrangements Committee has assembled a program that honors that theme.  </w:t>
      </w:r>
    </w:p>
    <w:p w14:paraId="630625B4" w14:textId="23A2A195" w:rsidR="005B129F" w:rsidRPr="0016668A" w:rsidRDefault="00747EF0" w:rsidP="005B129F">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sz w:val="22"/>
          <w:szCs w:val="22"/>
        </w:rPr>
        <w:t xml:space="preserve">     </w:t>
      </w:r>
      <w:r w:rsidR="005B129F" w:rsidRPr="0016668A">
        <w:rPr>
          <w:rFonts w:ascii="Calibri" w:hAnsi="Calibri" w:cs="Calibri"/>
          <w:color w:val="000000"/>
          <w:kern w:val="0"/>
          <w:sz w:val="22"/>
          <w:szCs w:val="22"/>
        </w:rPr>
        <w:t>The North Carolina Academy of Science (NCAS) has a long history of promoting scientific research, science education, public appreciation of science, and a meaningful role for science in public policy in our state.  The Academy consists of 3 distinct branches:  the senior Academy (NCAS) membership includes university and college faculty members, graduate students, and career scientists/analysts, the Collegiate Academy  (CANCAS) membership includes undergraduate students, and the Student Academy (SANCAS) membership includes middle and high school students.  The on-line Journal of the North Carolina Academy of Science provides an avenue for scientists and students to publish and share their scientific research findings with the world.   The first NCAS annual meeting was held at Trinity College (now Duke University) on November 28-28, 1902.</w:t>
      </w:r>
    </w:p>
    <w:p w14:paraId="4919D98A" w14:textId="174FCCDC" w:rsidR="005B129F" w:rsidRPr="0016668A" w:rsidRDefault="00747EF0" w:rsidP="005B129F">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sz w:val="22"/>
          <w:szCs w:val="22"/>
        </w:rPr>
        <w:t xml:space="preserve">     </w:t>
      </w:r>
      <w:r w:rsidR="005B129F" w:rsidRPr="0016668A">
        <w:rPr>
          <w:rFonts w:ascii="Calibri" w:hAnsi="Calibri" w:cs="Calibri"/>
          <w:color w:val="000000"/>
          <w:kern w:val="0"/>
          <w:sz w:val="22"/>
          <w:szCs w:val="22"/>
        </w:rPr>
        <w:t xml:space="preserve">Elon University hosted prior NCAS annual meetings in 1999 and 2011, but the connections between the Academy and Elon go farther back in our shared history.  More than a century ago, the Academy’s role in promoting science education was evident on this campus when then President of NCAS, Dr. Bert Cunningham, dedicated Elon College’s  (now Elon University) new science building.  In 1924, the Duke Building opened as Elon’s first building dedicated to science education.  It </w:t>
      </w:r>
      <w:r w:rsidR="00113A9D">
        <w:rPr>
          <w:rFonts w:ascii="Calibri" w:hAnsi="Calibri" w:cs="Calibri"/>
          <w:color w:val="000000"/>
          <w:kern w:val="0"/>
          <w:sz w:val="22"/>
          <w:szCs w:val="22"/>
        </w:rPr>
        <w:t xml:space="preserve">housed </w:t>
      </w:r>
      <w:r w:rsidR="001A5A42">
        <w:rPr>
          <w:rFonts w:ascii="Calibri" w:hAnsi="Calibri" w:cs="Calibri"/>
          <w:color w:val="000000"/>
          <w:kern w:val="0"/>
          <w:sz w:val="22"/>
          <w:szCs w:val="22"/>
        </w:rPr>
        <w:t xml:space="preserve">instrumentation and </w:t>
      </w:r>
      <w:r w:rsidR="005B129F" w:rsidRPr="0016668A">
        <w:rPr>
          <w:rFonts w:ascii="Calibri" w:hAnsi="Calibri" w:cs="Calibri"/>
          <w:color w:val="000000"/>
          <w:kern w:val="0"/>
          <w:sz w:val="22"/>
          <w:szCs w:val="22"/>
        </w:rPr>
        <w:t xml:space="preserve">laboratory spaces to support the </w:t>
      </w:r>
      <w:r w:rsidR="001A5A42">
        <w:rPr>
          <w:rFonts w:ascii="Calibri" w:hAnsi="Calibri" w:cs="Calibri"/>
          <w:color w:val="000000"/>
          <w:kern w:val="0"/>
          <w:sz w:val="22"/>
          <w:szCs w:val="22"/>
        </w:rPr>
        <w:t>science department</w:t>
      </w:r>
      <w:r w:rsidR="005B129F" w:rsidRPr="0016668A">
        <w:rPr>
          <w:rFonts w:ascii="Calibri" w:hAnsi="Calibri" w:cs="Calibri"/>
          <w:color w:val="000000"/>
          <w:kern w:val="0"/>
          <w:sz w:val="22"/>
          <w:szCs w:val="22"/>
        </w:rPr>
        <w:t xml:space="preserve">.  Today, Elon University’s science buildings include the McMichael Science Center which houses the newly renovated lab and research spaces for the Biology, Chemistry and Environmental Studies Departments and our newest science building which opened in August 2022, Innovation Hall, houses the Engineering Department and the Department of Physics and Astrophysics.  </w:t>
      </w:r>
    </w:p>
    <w:p w14:paraId="547FB062" w14:textId="0AA785BA" w:rsidR="005B129F" w:rsidRPr="0016668A" w:rsidRDefault="00747EF0" w:rsidP="005B129F">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sz w:val="22"/>
          <w:szCs w:val="22"/>
        </w:rPr>
        <w:t xml:space="preserve">     </w:t>
      </w:r>
      <w:r w:rsidR="005B129F" w:rsidRPr="0016668A">
        <w:rPr>
          <w:rFonts w:ascii="Calibri" w:hAnsi="Calibri" w:cs="Calibri"/>
          <w:color w:val="000000"/>
          <w:kern w:val="0"/>
          <w:sz w:val="22"/>
          <w:szCs w:val="22"/>
        </w:rPr>
        <w:t xml:space="preserve">Whether this be your first STEM meeting, or one of many in a lengthy career, we hope you find this to be a friendly, upbeat, and educational experience where you can share your thoughts and ideas with others in a true spirit of camaraderie.  We commend each of you for your dedication to research and the search for truth.  The ability to explore complex issues, communicate your findings, and engage with diverse perspectives prepares you for a lifetime of meaningful contribution—whether in science, public policy, higher education, or your local communities. </w:t>
      </w:r>
    </w:p>
    <w:p w14:paraId="7943A319" w14:textId="19A12D9C" w:rsidR="005B129F" w:rsidRPr="0016668A" w:rsidRDefault="00747EF0" w:rsidP="005B129F">
      <w:pPr>
        <w:autoSpaceDE w:val="0"/>
        <w:autoSpaceDN w:val="0"/>
        <w:adjustRightInd w:val="0"/>
        <w:spacing w:after="0" w:line="240" w:lineRule="auto"/>
        <w:rPr>
          <w:rFonts w:ascii="Calibri" w:hAnsi="Calibri" w:cs="Calibri"/>
          <w:color w:val="000000"/>
          <w:kern w:val="0"/>
          <w:sz w:val="22"/>
          <w:szCs w:val="22"/>
        </w:rPr>
      </w:pPr>
      <w:r>
        <w:rPr>
          <w:rFonts w:ascii="Calibri" w:hAnsi="Calibri" w:cs="Calibri"/>
          <w:color w:val="000000"/>
          <w:kern w:val="0"/>
          <w:sz w:val="22"/>
          <w:szCs w:val="22"/>
        </w:rPr>
        <w:t xml:space="preserve">     </w:t>
      </w:r>
      <w:r w:rsidR="005B129F" w:rsidRPr="0016668A">
        <w:rPr>
          <w:rFonts w:ascii="Calibri" w:hAnsi="Calibri" w:cs="Calibri"/>
          <w:color w:val="000000"/>
          <w:kern w:val="0"/>
          <w:sz w:val="22"/>
          <w:szCs w:val="22"/>
        </w:rPr>
        <w:t>We are grateful to our local host, our corporate sponsors, the keynote speaker, the workshop presenters, the panelists</w:t>
      </w:r>
      <w:r w:rsidR="00284881">
        <w:rPr>
          <w:rFonts w:ascii="Calibri" w:hAnsi="Calibri" w:cs="Calibri"/>
          <w:color w:val="000000"/>
          <w:kern w:val="0"/>
          <w:sz w:val="22"/>
          <w:szCs w:val="22"/>
        </w:rPr>
        <w:t>, and the exhibitors</w:t>
      </w:r>
      <w:r w:rsidR="005B129F" w:rsidRPr="0016668A">
        <w:rPr>
          <w:rFonts w:ascii="Calibri" w:hAnsi="Calibri" w:cs="Calibri"/>
          <w:color w:val="000000"/>
          <w:kern w:val="0"/>
          <w:sz w:val="22"/>
          <w:szCs w:val="22"/>
        </w:rPr>
        <w:t xml:space="preserve"> for providing the people, financial support, spaces, and presentations that make this annual meeting possible.</w:t>
      </w:r>
    </w:p>
    <w:p w14:paraId="32D4E3DA" w14:textId="77777777" w:rsidR="005B129F" w:rsidRPr="0016668A" w:rsidRDefault="005B129F" w:rsidP="005B129F">
      <w:pPr>
        <w:autoSpaceDE w:val="0"/>
        <w:autoSpaceDN w:val="0"/>
        <w:adjustRightInd w:val="0"/>
        <w:spacing w:after="0" w:line="240" w:lineRule="auto"/>
        <w:rPr>
          <w:rFonts w:ascii="Calibri" w:hAnsi="Calibri" w:cs="Calibri"/>
          <w:color w:val="000000"/>
          <w:kern w:val="0"/>
          <w:sz w:val="22"/>
          <w:szCs w:val="22"/>
        </w:rPr>
      </w:pPr>
    </w:p>
    <w:p w14:paraId="2C360015" w14:textId="77777777" w:rsidR="005B129F" w:rsidRPr="0016668A" w:rsidRDefault="005B129F" w:rsidP="005B129F">
      <w:pPr>
        <w:autoSpaceDE w:val="0"/>
        <w:autoSpaceDN w:val="0"/>
        <w:adjustRightInd w:val="0"/>
        <w:spacing w:after="0" w:line="240" w:lineRule="auto"/>
        <w:rPr>
          <w:rFonts w:ascii="Calibri" w:hAnsi="Calibri" w:cs="Calibri"/>
          <w:color w:val="000000"/>
          <w:kern w:val="0"/>
          <w:sz w:val="22"/>
          <w:szCs w:val="22"/>
        </w:rPr>
      </w:pPr>
      <w:r w:rsidRPr="0016668A">
        <w:rPr>
          <w:rFonts w:ascii="Calibri" w:hAnsi="Calibri" w:cs="Calibri"/>
          <w:color w:val="000000"/>
          <w:kern w:val="0"/>
          <w:sz w:val="22"/>
          <w:szCs w:val="22"/>
        </w:rPr>
        <w:t xml:space="preserve">Respectfully, </w:t>
      </w:r>
    </w:p>
    <w:p w14:paraId="61DB6B09" w14:textId="023280EB" w:rsidR="005B129F" w:rsidRPr="0016668A" w:rsidRDefault="00F84228" w:rsidP="005B129F">
      <w:pPr>
        <w:autoSpaceDE w:val="0"/>
        <w:autoSpaceDN w:val="0"/>
        <w:adjustRightInd w:val="0"/>
        <w:spacing w:after="0" w:line="240" w:lineRule="auto"/>
        <w:rPr>
          <w:rFonts w:ascii="Calibri" w:hAnsi="Calibri" w:cs="Calibri"/>
          <w:color w:val="000000"/>
          <w:kern w:val="0"/>
          <w:sz w:val="22"/>
          <w:szCs w:val="22"/>
        </w:rPr>
      </w:pPr>
      <w:r>
        <w:rPr>
          <w:rFonts w:eastAsia="Times New Roman"/>
          <w:noProof/>
          <w:color w:val="000000"/>
        </w:rPr>
        <w:drawing>
          <wp:inline distT="0" distB="0" distL="0" distR="0" wp14:anchorId="0FC7FBF8" wp14:editId="5B9A4450">
            <wp:extent cx="1675451" cy="404326"/>
            <wp:effectExtent l="0" t="0" r="1270" b="0"/>
            <wp:docPr id="2123739486" name="Picture 1" descr="This is an abbreviated schedule of events for this two-day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39486" name="Picture 1" descr="This is an abbreviated schedule of events for this two-day conference."/>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80255" cy="405485"/>
                    </a:xfrm>
                    <a:prstGeom prst="rect">
                      <a:avLst/>
                    </a:prstGeom>
                    <a:noFill/>
                    <a:ln>
                      <a:noFill/>
                    </a:ln>
                  </pic:spPr>
                </pic:pic>
              </a:graphicData>
            </a:graphic>
          </wp:inline>
        </w:drawing>
      </w:r>
    </w:p>
    <w:p w14:paraId="39A61ABA" w14:textId="77777777" w:rsidR="005B129F" w:rsidRPr="0016668A" w:rsidRDefault="005B129F" w:rsidP="005B129F">
      <w:pPr>
        <w:autoSpaceDE w:val="0"/>
        <w:autoSpaceDN w:val="0"/>
        <w:adjustRightInd w:val="0"/>
        <w:spacing w:after="0" w:line="240" w:lineRule="auto"/>
        <w:rPr>
          <w:rFonts w:ascii="Calibri" w:hAnsi="Calibri" w:cs="Calibri"/>
          <w:color w:val="000000"/>
          <w:kern w:val="0"/>
          <w:sz w:val="22"/>
          <w:szCs w:val="22"/>
        </w:rPr>
      </w:pPr>
      <w:r w:rsidRPr="0016668A">
        <w:rPr>
          <w:rFonts w:ascii="Calibri" w:hAnsi="Calibri" w:cs="Calibri"/>
          <w:color w:val="000000"/>
          <w:kern w:val="0"/>
          <w:sz w:val="22"/>
          <w:szCs w:val="22"/>
        </w:rPr>
        <w:t>Laura Reichenberg</w:t>
      </w:r>
      <w:r w:rsidRPr="0016668A">
        <w:rPr>
          <w:rFonts w:ascii="Calibri" w:hAnsi="Calibri" w:cs="Calibri"/>
          <w:b/>
          <w:bCs/>
          <w:color w:val="000000"/>
          <w:kern w:val="0"/>
          <w:sz w:val="22"/>
          <w:szCs w:val="22"/>
        </w:rPr>
        <w:t xml:space="preserve">, </w:t>
      </w:r>
      <w:r w:rsidRPr="0016668A">
        <w:rPr>
          <w:rFonts w:ascii="Calibri" w:hAnsi="Calibri" w:cs="Calibri"/>
          <w:color w:val="000000"/>
          <w:kern w:val="0"/>
          <w:sz w:val="22"/>
          <w:szCs w:val="22"/>
        </w:rPr>
        <w:t>President 2025-2026, North Carolina Academy of Science</w:t>
      </w:r>
    </w:p>
    <w:p w14:paraId="345C1EF9" w14:textId="77777777" w:rsidR="005B129F" w:rsidRPr="0016668A" w:rsidRDefault="005B129F" w:rsidP="005B129F">
      <w:pPr>
        <w:autoSpaceDE w:val="0"/>
        <w:autoSpaceDN w:val="0"/>
        <w:adjustRightInd w:val="0"/>
        <w:spacing w:after="0" w:line="240" w:lineRule="auto"/>
        <w:rPr>
          <w:rFonts w:ascii="Calibri" w:hAnsi="Calibri" w:cs="Calibri"/>
          <w:color w:val="000000"/>
          <w:kern w:val="0"/>
          <w:sz w:val="22"/>
          <w:szCs w:val="22"/>
        </w:rPr>
      </w:pPr>
      <w:r w:rsidRPr="0016668A">
        <w:rPr>
          <w:rFonts w:ascii="Calibri" w:hAnsi="Calibri" w:cs="Calibri"/>
          <w:noProof/>
          <w:sz w:val="22"/>
          <w:szCs w:val="22"/>
        </w:rPr>
        <w:drawing>
          <wp:inline distT="0" distB="0" distL="0" distR="0" wp14:anchorId="37EC0E7A" wp14:editId="4FCDEC96">
            <wp:extent cx="2169505" cy="400050"/>
            <wp:effectExtent l="0" t="0" r="2540" b="0"/>
            <wp:docPr id="2" name="Picture 2" descr="Signature of Local Arrangments Chair Michael K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gnature of Local Arrangments Chair Michael Kingst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0269" cy="409411"/>
                    </a:xfrm>
                    <a:prstGeom prst="rect">
                      <a:avLst/>
                    </a:prstGeom>
                    <a:noFill/>
                    <a:ln>
                      <a:noFill/>
                    </a:ln>
                  </pic:spPr>
                </pic:pic>
              </a:graphicData>
            </a:graphic>
          </wp:inline>
        </w:drawing>
      </w:r>
    </w:p>
    <w:p w14:paraId="4D1D0249" w14:textId="77777777" w:rsidR="005B129F" w:rsidRDefault="005B129F" w:rsidP="005B129F">
      <w:pPr>
        <w:rPr>
          <w:rFonts w:ascii="Calibri" w:hAnsi="Calibri" w:cs="Calibri"/>
          <w:color w:val="000000"/>
          <w:kern w:val="0"/>
          <w:sz w:val="22"/>
          <w:szCs w:val="22"/>
        </w:rPr>
      </w:pPr>
      <w:r w:rsidRPr="0016668A">
        <w:rPr>
          <w:rFonts w:ascii="Calibri" w:hAnsi="Calibri" w:cs="Calibri"/>
          <w:color w:val="000000"/>
          <w:kern w:val="0"/>
          <w:sz w:val="22"/>
          <w:szCs w:val="22"/>
        </w:rPr>
        <w:t>Michael Kingston, Chair of the Local Arrangements Committee and NCAS Secretary</w:t>
      </w:r>
    </w:p>
    <w:p w14:paraId="06663464" w14:textId="7BB1EE28" w:rsidR="00747EF0" w:rsidRPr="00B051AC" w:rsidRDefault="00B051AC" w:rsidP="00B051AC">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550B2C33" w14:textId="77777777" w:rsidR="00747EF0" w:rsidRDefault="00747EF0" w:rsidP="005B129F">
      <w:pPr>
        <w:rPr>
          <w:rFonts w:ascii="Calibri" w:hAnsi="Calibri" w:cs="Calibri"/>
          <w:color w:val="000000"/>
          <w:kern w:val="0"/>
          <w:sz w:val="22"/>
          <w:szCs w:val="22"/>
        </w:rPr>
      </w:pPr>
    </w:p>
    <w:p w14:paraId="6DF31AFD" w14:textId="77777777" w:rsidR="005B129F" w:rsidRPr="00B40F99" w:rsidRDefault="005B129F" w:rsidP="005B129F">
      <w:pPr>
        <w:jc w:val="center"/>
        <w:rPr>
          <w:rFonts w:ascii="Calibri" w:hAnsi="Calibri" w:cs="Calibri"/>
          <w:b/>
          <w:bCs/>
          <w:sz w:val="32"/>
          <w:szCs w:val="32"/>
        </w:rPr>
      </w:pPr>
      <w:bookmarkStart w:id="2" w:name="AaGs"/>
      <w:r>
        <w:rPr>
          <w:rFonts w:ascii="Calibri" w:hAnsi="Calibri" w:cs="Calibri"/>
          <w:b/>
          <w:bCs/>
          <w:sz w:val="32"/>
          <w:szCs w:val="32"/>
        </w:rPr>
        <w:lastRenderedPageBreak/>
        <w:t>At-a-Glance Schedule of M</w:t>
      </w:r>
      <w:r w:rsidRPr="00B40F99">
        <w:rPr>
          <w:rFonts w:ascii="Calibri" w:hAnsi="Calibri" w:cs="Calibri"/>
          <w:b/>
          <w:bCs/>
          <w:sz w:val="32"/>
          <w:szCs w:val="32"/>
        </w:rPr>
        <w:t xml:space="preserve">eeting Events and </w:t>
      </w:r>
      <w:r>
        <w:rPr>
          <w:rFonts w:ascii="Calibri" w:hAnsi="Calibri" w:cs="Calibri"/>
          <w:b/>
          <w:bCs/>
          <w:sz w:val="32"/>
          <w:szCs w:val="32"/>
        </w:rPr>
        <w:t>Locations</w:t>
      </w:r>
    </w:p>
    <w:bookmarkEnd w:id="2"/>
    <w:p w14:paraId="225F5752" w14:textId="21F37BCF" w:rsidR="005B129F" w:rsidRDefault="005B129F" w:rsidP="00AB41B6">
      <w:pPr>
        <w:spacing w:after="0"/>
        <w:rPr>
          <w:b/>
          <w:bCs/>
        </w:rPr>
      </w:pPr>
      <w:r>
        <w:rPr>
          <w:b/>
          <w:bCs/>
        </w:rPr>
        <w:t>Friday April 24, 202</w:t>
      </w:r>
      <w:r w:rsidR="002160BB">
        <w:rPr>
          <w:b/>
          <w:bCs/>
        </w:rPr>
        <w:t>6</w:t>
      </w:r>
    </w:p>
    <w:p w14:paraId="3EA59E8F" w14:textId="77777777" w:rsidR="005B129F" w:rsidRDefault="005B129F" w:rsidP="005B129F">
      <w:pPr>
        <w:spacing w:after="0" w:line="240" w:lineRule="auto"/>
      </w:pPr>
      <w:r>
        <w:t xml:space="preserve">    1:00 – 2:00 p.m. – Finance Committee Meeting </w:t>
      </w:r>
      <w:r>
        <w:tab/>
        <w:t xml:space="preserve">          Moseley Center 215</w:t>
      </w:r>
    </w:p>
    <w:p w14:paraId="72C0AF82" w14:textId="77777777" w:rsidR="005B129F" w:rsidRDefault="005B129F" w:rsidP="005B129F">
      <w:pPr>
        <w:spacing w:after="0" w:line="240" w:lineRule="auto"/>
      </w:pPr>
      <w:r>
        <w:t xml:space="preserve">    2:00 – 5:00 p.m. – Board Meeting</w:t>
      </w:r>
      <w:r>
        <w:tab/>
      </w:r>
      <w:r>
        <w:tab/>
      </w:r>
      <w:r>
        <w:tab/>
        <w:t xml:space="preserve">          Moseley Center 215</w:t>
      </w:r>
    </w:p>
    <w:p w14:paraId="651A0D14" w14:textId="77777777" w:rsidR="005B129F" w:rsidRDefault="005B129F" w:rsidP="005B129F">
      <w:pPr>
        <w:spacing w:after="0" w:line="240" w:lineRule="auto"/>
      </w:pPr>
      <w:r>
        <w:t xml:space="preserve">    5:00 – 6:00 p.m. – Registration and Poster Setup         Lakeside 2</w:t>
      </w:r>
      <w:r>
        <w:rPr>
          <w:vertAlign w:val="superscript"/>
        </w:rPr>
        <w:t>nd</w:t>
      </w:r>
      <w:r>
        <w:t xml:space="preserve"> Floor Lobby</w:t>
      </w:r>
    </w:p>
    <w:p w14:paraId="3374A609" w14:textId="77777777" w:rsidR="005B129F" w:rsidRDefault="005B129F" w:rsidP="005B129F">
      <w:pPr>
        <w:spacing w:after="0" w:line="240" w:lineRule="auto"/>
      </w:pPr>
      <w:r>
        <w:t xml:space="preserve">    5:30 – 6:00 p.m. – Poster Judges Meeting </w:t>
      </w:r>
      <w:r>
        <w:tab/>
        <w:t xml:space="preserve">          Moseley Center 215</w:t>
      </w:r>
    </w:p>
    <w:p w14:paraId="1D128515" w14:textId="77777777" w:rsidR="005B129F" w:rsidRDefault="005B129F" w:rsidP="005B129F">
      <w:pPr>
        <w:spacing w:after="0" w:line="240" w:lineRule="auto"/>
      </w:pPr>
      <w:r>
        <w:t xml:space="preserve">    6:00 – 7:30 p.m. – Poster Session</w:t>
      </w:r>
      <w:r>
        <w:tab/>
      </w:r>
      <w:r>
        <w:tab/>
      </w:r>
      <w:r>
        <w:tab/>
        <w:t xml:space="preserve">          Lakeside 2</w:t>
      </w:r>
      <w:r>
        <w:rPr>
          <w:vertAlign w:val="superscript"/>
        </w:rPr>
        <w:t>nd</w:t>
      </w:r>
      <w:r>
        <w:t xml:space="preserve"> Floor 212, 213, 214</w:t>
      </w:r>
    </w:p>
    <w:p w14:paraId="6A8839FD" w14:textId="77777777" w:rsidR="005B129F" w:rsidRDefault="005B129F" w:rsidP="005B129F">
      <w:pPr>
        <w:spacing w:after="0" w:line="240" w:lineRule="auto"/>
      </w:pPr>
    </w:p>
    <w:p w14:paraId="45483BE5" w14:textId="2BAB6BF6" w:rsidR="005B129F" w:rsidRPr="00AB41B6" w:rsidRDefault="005B129F" w:rsidP="00AB41B6">
      <w:pPr>
        <w:spacing w:after="0"/>
        <w:rPr>
          <w:b/>
          <w:bCs/>
        </w:rPr>
      </w:pPr>
      <w:r>
        <w:rPr>
          <w:b/>
          <w:bCs/>
        </w:rPr>
        <w:t>Saturday April 25, 202</w:t>
      </w:r>
      <w:r w:rsidR="002160BB">
        <w:rPr>
          <w:b/>
          <w:bCs/>
        </w:rPr>
        <w:t>6</w:t>
      </w:r>
    </w:p>
    <w:p w14:paraId="7F2E911C" w14:textId="77777777" w:rsidR="005B129F" w:rsidRDefault="005B129F" w:rsidP="005B129F">
      <w:pPr>
        <w:spacing w:after="0" w:line="240" w:lineRule="auto"/>
      </w:pPr>
      <w:r>
        <w:t xml:space="preserve">    7:30 – 8:30 a.m. – Registration and Exhibit Setup        Koury Business Center (KOBC) Lobby</w:t>
      </w:r>
    </w:p>
    <w:p w14:paraId="3881E5F8" w14:textId="77777777" w:rsidR="005B129F" w:rsidRDefault="005B129F" w:rsidP="005B129F">
      <w:pPr>
        <w:spacing w:after="0" w:line="240" w:lineRule="auto"/>
      </w:pPr>
      <w:r>
        <w:t xml:space="preserve">    8:00 – 8:30 a.m. – Judges and Moderators Meeting      KOBC  145</w:t>
      </w:r>
    </w:p>
    <w:p w14:paraId="6A602C3D" w14:textId="4B9EED4D" w:rsidR="005B129F" w:rsidRDefault="005B129F" w:rsidP="005B129F">
      <w:pPr>
        <w:spacing w:after="0" w:line="240" w:lineRule="auto"/>
      </w:pPr>
      <w:r>
        <w:t xml:space="preserve">    8:30 – 12:00 p.m.-Student Academy Posters</w:t>
      </w:r>
      <w:r>
        <w:tab/>
        <w:t xml:space="preserve">           KOBC </w:t>
      </w:r>
      <w:r w:rsidR="00E4779B">
        <w:t xml:space="preserve">First Floor </w:t>
      </w:r>
      <w:r>
        <w:t>Office Suite</w:t>
      </w:r>
    </w:p>
    <w:p w14:paraId="068E1580" w14:textId="77777777" w:rsidR="005B129F" w:rsidRDefault="005B129F" w:rsidP="005B129F">
      <w:pPr>
        <w:spacing w:after="0" w:line="240" w:lineRule="auto"/>
      </w:pPr>
      <w:r>
        <w:t xml:space="preserve">    8:30 – 12:30 p.m.-Resumé Tune-Up   </w:t>
      </w:r>
      <w:r>
        <w:tab/>
      </w:r>
      <w:r>
        <w:tab/>
        <w:t xml:space="preserve">           KOBC Lobby</w:t>
      </w:r>
    </w:p>
    <w:p w14:paraId="1E7D3951" w14:textId="33CBF5F3" w:rsidR="00F61439" w:rsidRDefault="00F61439" w:rsidP="005B129F">
      <w:pPr>
        <w:spacing w:after="0" w:line="240" w:lineRule="auto"/>
      </w:pPr>
      <w:r>
        <w:tab/>
      </w:r>
      <w:r>
        <w:tab/>
      </w:r>
      <w:r>
        <w:tab/>
        <w:t>Elon Student Profess</w:t>
      </w:r>
      <w:r w:rsidR="00AC1198">
        <w:t>i</w:t>
      </w:r>
      <w:r>
        <w:t>onal Development Program</w:t>
      </w:r>
    </w:p>
    <w:p w14:paraId="13DB9436" w14:textId="77777777" w:rsidR="005B129F" w:rsidRDefault="005B129F" w:rsidP="005B129F">
      <w:pPr>
        <w:spacing w:after="0" w:line="240" w:lineRule="auto"/>
      </w:pPr>
      <w:r>
        <w:t xml:space="preserve">    8:30 a.m. – 5:00 p.m. – Exhibits/Vendors</w:t>
      </w:r>
      <w:r>
        <w:tab/>
      </w:r>
      <w:r>
        <w:tab/>
        <w:t xml:space="preserve">           KOBC Lobby</w:t>
      </w:r>
    </w:p>
    <w:p w14:paraId="3CA6B667" w14:textId="3251F3D0" w:rsidR="00D56948" w:rsidRDefault="00D56948" w:rsidP="005B129F">
      <w:pPr>
        <w:spacing w:after="0" w:line="240" w:lineRule="auto"/>
      </w:pPr>
      <w:r>
        <w:tab/>
      </w:r>
      <w:r>
        <w:tab/>
      </w:r>
      <w:r>
        <w:tab/>
        <w:t>Siemens Mobility</w:t>
      </w:r>
    </w:p>
    <w:p w14:paraId="267067D4" w14:textId="1C2BA54F" w:rsidR="00D56948" w:rsidRDefault="00D56948" w:rsidP="005B129F">
      <w:pPr>
        <w:spacing w:after="0" w:line="240" w:lineRule="auto"/>
      </w:pPr>
      <w:r>
        <w:tab/>
      </w:r>
      <w:r>
        <w:tab/>
      </w:r>
      <w:r>
        <w:tab/>
      </w:r>
      <w:proofErr w:type="spellStart"/>
      <w:r>
        <w:t>Labcorp</w:t>
      </w:r>
      <w:proofErr w:type="spellEnd"/>
    </w:p>
    <w:p w14:paraId="0D6C1289" w14:textId="532430A7" w:rsidR="00D56948" w:rsidRDefault="00D56948" w:rsidP="005B129F">
      <w:pPr>
        <w:spacing w:after="0" w:line="240" w:lineRule="auto"/>
      </w:pPr>
      <w:r>
        <w:tab/>
      </w:r>
      <w:r>
        <w:tab/>
      </w:r>
      <w:r>
        <w:tab/>
        <w:t xml:space="preserve">Carolina </w:t>
      </w:r>
      <w:r w:rsidR="000553AB">
        <w:t>Science</w:t>
      </w:r>
    </w:p>
    <w:p w14:paraId="24B4F347" w14:textId="6860AB34" w:rsidR="00D62BEB" w:rsidRDefault="00383CE6" w:rsidP="00D62BEB">
      <w:pPr>
        <w:spacing w:after="0" w:line="240" w:lineRule="auto"/>
      </w:pPr>
      <w:r>
        <w:tab/>
      </w:r>
      <w:r>
        <w:tab/>
      </w:r>
      <w:r>
        <w:tab/>
      </w:r>
      <w:r w:rsidR="00D62BEB">
        <w:t xml:space="preserve">Campbell University College of Pharmacy &amp; Health Science </w:t>
      </w:r>
    </w:p>
    <w:p w14:paraId="134BA900" w14:textId="6E620322" w:rsidR="00F61439" w:rsidRDefault="00F61439" w:rsidP="004C5065">
      <w:pPr>
        <w:spacing w:after="0" w:line="240" w:lineRule="auto"/>
        <w:ind w:left="1440" w:firstLine="720"/>
      </w:pPr>
      <w:r>
        <w:t xml:space="preserve">NCSU Interdisciplinary Biochemical </w:t>
      </w:r>
      <w:proofErr w:type="spellStart"/>
      <w:r>
        <w:t>Masters</w:t>
      </w:r>
      <w:proofErr w:type="spellEnd"/>
      <w:r>
        <w:t xml:space="preserve"> Program</w:t>
      </w:r>
    </w:p>
    <w:p w14:paraId="4C1D3A56" w14:textId="580959BB" w:rsidR="0096687D" w:rsidRDefault="0096687D" w:rsidP="004C5065">
      <w:pPr>
        <w:spacing w:after="0" w:line="240" w:lineRule="auto"/>
        <w:ind w:left="1440" w:firstLine="720"/>
      </w:pPr>
      <w:r w:rsidRPr="0096687D">
        <w:t>Joint School of Nanoscience and Nanoengineering (JSNN)</w:t>
      </w:r>
    </w:p>
    <w:p w14:paraId="25E71D75" w14:textId="07BA4497" w:rsidR="00F61439" w:rsidRDefault="00F61439" w:rsidP="005B129F">
      <w:pPr>
        <w:spacing w:after="0" w:line="240" w:lineRule="auto"/>
      </w:pPr>
      <w:r>
        <w:tab/>
      </w:r>
      <w:r>
        <w:tab/>
      </w:r>
      <w:r>
        <w:tab/>
        <w:t xml:space="preserve">Elon University </w:t>
      </w:r>
      <w:r w:rsidR="004C5065">
        <w:t xml:space="preserve">Health Sciences </w:t>
      </w:r>
      <w:r>
        <w:t>Graduate Programs</w:t>
      </w:r>
    </w:p>
    <w:p w14:paraId="69D1A4BF" w14:textId="13097B07" w:rsidR="005B129F" w:rsidRDefault="005B129F" w:rsidP="005B129F">
      <w:pPr>
        <w:spacing w:after="0" w:line="240" w:lineRule="auto"/>
      </w:pPr>
      <w:r>
        <w:t xml:space="preserve">    8:30 – 9:45 a.m. – Oral Presentations, Session 1           KOBC  200, 208, 211</w:t>
      </w:r>
      <w:r w:rsidR="003260D2">
        <w:t>,</w:t>
      </w:r>
      <w:r w:rsidR="009242BC">
        <w:t xml:space="preserve"> 237</w:t>
      </w:r>
      <w:r>
        <w:t xml:space="preserve">   </w:t>
      </w:r>
    </w:p>
    <w:p w14:paraId="2AAA1804" w14:textId="1B0CCC99" w:rsidR="005B129F" w:rsidRDefault="005B129F" w:rsidP="005B129F">
      <w:pPr>
        <w:spacing w:after="0" w:line="240" w:lineRule="auto"/>
      </w:pPr>
      <w:r>
        <w:t xml:space="preserve">    10:00 – 11:15 a.m. – Oral Presentations, Session 2      KOBC  200, 208, 211</w:t>
      </w:r>
    </w:p>
    <w:p w14:paraId="5A68291E" w14:textId="77777777" w:rsidR="005B129F" w:rsidRDefault="005B129F" w:rsidP="005B129F">
      <w:pPr>
        <w:spacing w:after="0" w:line="240" w:lineRule="auto"/>
      </w:pPr>
      <w:r>
        <w:t xml:space="preserve">    11:30 a.m.-Welcome and Keynote Speaker </w:t>
      </w:r>
      <w:r>
        <w:tab/>
        <w:t xml:space="preserve">            KOBC 101</w:t>
      </w:r>
    </w:p>
    <w:p w14:paraId="68FE51AB" w14:textId="77777777" w:rsidR="005B129F" w:rsidRDefault="005B129F" w:rsidP="005B129F">
      <w:pPr>
        <w:spacing w:after="0" w:line="240" w:lineRule="auto"/>
      </w:pPr>
      <w:r>
        <w:t xml:space="preserve">    12:45 – 2:00 p.m. – Lunch at Dining Halls</w:t>
      </w:r>
      <w:r>
        <w:tab/>
        <w:t xml:space="preserve">            Lakeside Dining &amp; McEwen Dining</w:t>
      </w:r>
    </w:p>
    <w:p w14:paraId="7F8FEAEE" w14:textId="77777777" w:rsidR="005B129F" w:rsidRDefault="005B129F" w:rsidP="005B129F">
      <w:pPr>
        <w:spacing w:after="0" w:line="240" w:lineRule="auto"/>
      </w:pPr>
      <w:r>
        <w:t xml:space="preserve">    1:30 – 2:15 p.m. – Judges Meeting</w:t>
      </w:r>
      <w:r>
        <w:tab/>
      </w:r>
      <w:r>
        <w:tab/>
        <w:t xml:space="preserve">            KOBC 145</w:t>
      </w:r>
    </w:p>
    <w:p w14:paraId="4F34962F" w14:textId="2E5D0A13" w:rsidR="005B129F" w:rsidRDefault="005B129F" w:rsidP="005B129F">
      <w:pPr>
        <w:spacing w:after="0" w:line="240" w:lineRule="auto"/>
      </w:pPr>
      <w:r>
        <w:t xml:space="preserve">     2:15 – 3:15 p.m. – Concurrent Workshops/Panel</w:t>
      </w:r>
      <w:r w:rsidR="0099530D">
        <w:t xml:space="preserve"> Discussion</w:t>
      </w:r>
    </w:p>
    <w:p w14:paraId="2F726E4E" w14:textId="77777777" w:rsidR="005B129F" w:rsidRDefault="005B129F" w:rsidP="005B129F">
      <w:pPr>
        <w:spacing w:after="0" w:line="240" w:lineRule="auto"/>
      </w:pPr>
      <w:r>
        <w:t xml:space="preserve">          Science and Advocacy Workshop </w:t>
      </w:r>
      <w:r>
        <w:tab/>
      </w:r>
      <w:r>
        <w:tab/>
        <w:t xml:space="preserve">             KOBC 208</w:t>
      </w:r>
      <w:r>
        <w:tab/>
      </w:r>
      <w:r>
        <w:tab/>
      </w:r>
      <w:r>
        <w:tab/>
      </w:r>
      <w:r>
        <w:tab/>
      </w:r>
    </w:p>
    <w:p w14:paraId="53FE6905" w14:textId="77777777" w:rsidR="005B129F" w:rsidRDefault="005B129F" w:rsidP="005B129F">
      <w:pPr>
        <w:spacing w:after="0" w:line="240" w:lineRule="auto"/>
      </w:pPr>
      <w:r>
        <w:t xml:space="preserve">          Creative Data Visualization Workshop</w:t>
      </w:r>
      <w:r>
        <w:tab/>
        <w:t xml:space="preserve">             KOBC 211</w:t>
      </w:r>
    </w:p>
    <w:p w14:paraId="620FD7FB" w14:textId="77777777" w:rsidR="005B129F" w:rsidRDefault="005B129F" w:rsidP="005B129F">
      <w:pPr>
        <w:spacing w:after="0" w:line="240" w:lineRule="auto"/>
      </w:pPr>
      <w:r>
        <w:t xml:space="preserve">          Professional Careers in Science </w:t>
      </w:r>
      <w:r>
        <w:tab/>
      </w:r>
      <w:r>
        <w:tab/>
        <w:t xml:space="preserve">             KOBC 237</w:t>
      </w:r>
    </w:p>
    <w:p w14:paraId="14DD98FE" w14:textId="77777777" w:rsidR="005B129F" w:rsidRDefault="005B129F" w:rsidP="005B129F">
      <w:pPr>
        <w:spacing w:after="0" w:line="240" w:lineRule="auto"/>
      </w:pPr>
      <w:r>
        <w:t xml:space="preserve">    3:30 – 4:15 p.m. – Award Ceremony </w:t>
      </w:r>
      <w:r>
        <w:tab/>
      </w:r>
      <w:r>
        <w:tab/>
        <w:t xml:space="preserve">             KOBC 101</w:t>
      </w:r>
    </w:p>
    <w:p w14:paraId="144315D4" w14:textId="77777777" w:rsidR="005B129F" w:rsidRDefault="005B129F" w:rsidP="005B129F">
      <w:pPr>
        <w:spacing w:after="0" w:line="240" w:lineRule="auto"/>
      </w:pPr>
      <w:r>
        <w:t xml:space="preserve">    4:15 – 5:15 p.m. – Business Meetings</w:t>
      </w:r>
    </w:p>
    <w:p w14:paraId="6CA9196A" w14:textId="77777777" w:rsidR="005B129F" w:rsidRDefault="005B129F" w:rsidP="005B129F">
      <w:pPr>
        <w:spacing w:after="0" w:line="240" w:lineRule="auto"/>
        <w:ind w:firstLine="720"/>
      </w:pPr>
      <w:r>
        <w:t>Collegiate Academy</w:t>
      </w:r>
      <w:r>
        <w:tab/>
      </w:r>
      <w:r>
        <w:tab/>
      </w:r>
      <w:r>
        <w:tab/>
      </w:r>
      <w:r>
        <w:tab/>
        <w:t xml:space="preserve">              KOBC 237   </w:t>
      </w:r>
    </w:p>
    <w:p w14:paraId="2E40E893" w14:textId="77777777" w:rsidR="005B129F" w:rsidRDefault="005B129F" w:rsidP="005B129F">
      <w:pPr>
        <w:spacing w:after="0" w:line="240" w:lineRule="auto"/>
        <w:ind w:firstLine="720"/>
      </w:pPr>
      <w:r>
        <w:t>Senior Academy</w:t>
      </w:r>
      <w:r>
        <w:tab/>
      </w:r>
      <w:r>
        <w:tab/>
      </w:r>
      <w:r>
        <w:tab/>
      </w:r>
      <w:r>
        <w:tab/>
        <w:t xml:space="preserve">              KOBC 101  </w:t>
      </w:r>
    </w:p>
    <w:p w14:paraId="0B272CFE" w14:textId="77777777" w:rsidR="005B129F" w:rsidRDefault="005B129F" w:rsidP="005B129F">
      <w:pPr>
        <w:spacing w:after="0" w:line="240" w:lineRule="auto"/>
      </w:pPr>
      <w:r>
        <w:t xml:space="preserve">    5:15 – 5:45 p.m. – NCAS Board of Directors Meeting      KOBC 145</w:t>
      </w:r>
    </w:p>
    <w:p w14:paraId="01A30DFA" w14:textId="77777777" w:rsidR="00B051AC" w:rsidRDefault="00B051AC" w:rsidP="005B129F">
      <w:pPr>
        <w:spacing w:after="0" w:line="240" w:lineRule="auto"/>
      </w:pPr>
    </w:p>
    <w:p w14:paraId="02A01982" w14:textId="77777777" w:rsidR="00B051AC" w:rsidRPr="00B051AC" w:rsidRDefault="00B051AC" w:rsidP="00B051AC">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4D95B07A" w14:textId="77777777" w:rsidR="00B051AC" w:rsidRDefault="00B051AC" w:rsidP="005B129F">
      <w:pPr>
        <w:spacing w:after="0" w:line="240" w:lineRule="auto"/>
      </w:pPr>
    </w:p>
    <w:p w14:paraId="78F5BABA" w14:textId="77777777" w:rsidR="005B129F" w:rsidRDefault="005B129F" w:rsidP="005B129F">
      <w:pPr>
        <w:spacing w:after="0" w:line="240" w:lineRule="auto"/>
        <w:rPr>
          <w:rFonts w:ascii="Calibri" w:hAnsi="Calibri" w:cs="Calibri"/>
          <w:color w:val="000000"/>
          <w:kern w:val="0"/>
          <w:sz w:val="22"/>
          <w:szCs w:val="22"/>
        </w:rPr>
      </w:pPr>
    </w:p>
    <w:p w14:paraId="60487E14" w14:textId="77777777" w:rsidR="005B129F" w:rsidRDefault="005B129F" w:rsidP="005B129F">
      <w:pPr>
        <w:spacing w:after="0" w:line="240" w:lineRule="auto"/>
        <w:rPr>
          <w:rFonts w:ascii="Calibri" w:hAnsi="Calibri" w:cs="Calibri"/>
          <w:color w:val="000000"/>
          <w:kern w:val="0"/>
          <w:sz w:val="22"/>
          <w:szCs w:val="22"/>
        </w:rPr>
      </w:pPr>
    </w:p>
    <w:p w14:paraId="2C0B64C0" w14:textId="77777777" w:rsidR="00B051AC" w:rsidRDefault="00B051AC" w:rsidP="005B129F">
      <w:pPr>
        <w:spacing w:after="0" w:line="240" w:lineRule="auto"/>
        <w:contextualSpacing/>
        <w:jc w:val="center"/>
        <w:rPr>
          <w:rFonts w:ascii="Calibri" w:eastAsia="Arial" w:hAnsi="Calibri" w:cs="Calibri"/>
          <w:b/>
          <w:bCs/>
          <w:sz w:val="32"/>
          <w:szCs w:val="32"/>
        </w:rPr>
      </w:pPr>
      <w:bookmarkStart w:id="3" w:name="Keynote"/>
    </w:p>
    <w:p w14:paraId="06096317" w14:textId="385EE887" w:rsidR="005B129F" w:rsidRDefault="005B129F" w:rsidP="005B129F">
      <w:pPr>
        <w:spacing w:after="0" w:line="240" w:lineRule="auto"/>
        <w:contextualSpacing/>
        <w:jc w:val="center"/>
        <w:rPr>
          <w:rFonts w:ascii="Calibri" w:eastAsia="Arial" w:hAnsi="Calibri" w:cs="Calibri"/>
          <w:b/>
          <w:bCs/>
          <w:sz w:val="32"/>
          <w:szCs w:val="32"/>
        </w:rPr>
      </w:pPr>
      <w:r>
        <w:rPr>
          <w:rFonts w:ascii="Calibri" w:eastAsia="Arial" w:hAnsi="Calibri" w:cs="Calibri"/>
          <w:b/>
          <w:bCs/>
          <w:sz w:val="32"/>
          <w:szCs w:val="32"/>
        </w:rPr>
        <w:lastRenderedPageBreak/>
        <w:t>K</w:t>
      </w:r>
      <w:r w:rsidRPr="00B40F99">
        <w:rPr>
          <w:rFonts w:ascii="Calibri" w:eastAsia="Arial" w:hAnsi="Calibri" w:cs="Calibri"/>
          <w:b/>
          <w:bCs/>
          <w:sz w:val="32"/>
          <w:szCs w:val="32"/>
        </w:rPr>
        <w:t xml:space="preserve">eynote </w:t>
      </w:r>
      <w:r>
        <w:rPr>
          <w:rFonts w:ascii="Calibri" w:eastAsia="Arial" w:hAnsi="Calibri" w:cs="Calibri"/>
          <w:b/>
          <w:bCs/>
          <w:sz w:val="32"/>
          <w:szCs w:val="32"/>
        </w:rPr>
        <w:t>Address (KOBC 101)</w:t>
      </w:r>
      <w:bookmarkEnd w:id="3"/>
    </w:p>
    <w:p w14:paraId="312B2407" w14:textId="77777777" w:rsidR="005B129F" w:rsidRPr="00B40F99" w:rsidRDefault="005B129F" w:rsidP="005B129F">
      <w:pPr>
        <w:spacing w:after="0" w:line="240" w:lineRule="auto"/>
        <w:contextualSpacing/>
        <w:jc w:val="center"/>
        <w:rPr>
          <w:rFonts w:ascii="Calibri" w:eastAsia="Arial" w:hAnsi="Calibri" w:cs="Calibri"/>
          <w:b/>
          <w:bCs/>
          <w:sz w:val="32"/>
          <w:szCs w:val="32"/>
        </w:rPr>
      </w:pPr>
      <w:r w:rsidRPr="00E1404C">
        <w:rPr>
          <w:rFonts w:ascii="Calibri" w:eastAsia="Arial" w:hAnsi="Calibri" w:cs="Calibri"/>
          <w:b/>
          <w:bCs/>
          <w:sz w:val="32"/>
          <w:szCs w:val="32"/>
        </w:rPr>
        <w:t>“Decoding and recoding the genome: Innovative</w:t>
      </w:r>
      <w:r>
        <w:rPr>
          <w:rFonts w:ascii="Calibri" w:eastAsia="Arial" w:hAnsi="Calibri" w:cs="Calibri"/>
          <w:b/>
          <w:bCs/>
          <w:sz w:val="32"/>
          <w:szCs w:val="32"/>
        </w:rPr>
        <w:t xml:space="preserve"> </w:t>
      </w:r>
      <w:r w:rsidRPr="00E1404C">
        <w:rPr>
          <w:rFonts w:ascii="Calibri" w:eastAsia="Arial" w:hAnsi="Calibri" w:cs="Calibri"/>
          <w:b/>
          <w:bCs/>
          <w:sz w:val="32"/>
          <w:szCs w:val="32"/>
        </w:rPr>
        <w:t>approaches to the challenges of aging, cancer, and</w:t>
      </w:r>
      <w:r>
        <w:rPr>
          <w:rFonts w:ascii="Calibri" w:eastAsia="Arial" w:hAnsi="Calibri" w:cs="Calibri"/>
          <w:b/>
          <w:bCs/>
          <w:sz w:val="32"/>
          <w:szCs w:val="32"/>
        </w:rPr>
        <w:t xml:space="preserve"> </w:t>
      </w:r>
      <w:r w:rsidRPr="00E1404C">
        <w:rPr>
          <w:rFonts w:ascii="Calibri" w:eastAsia="Arial" w:hAnsi="Calibri" w:cs="Calibri"/>
          <w:b/>
          <w:bCs/>
          <w:sz w:val="32"/>
          <w:szCs w:val="32"/>
        </w:rPr>
        <w:t>the future of food”</w:t>
      </w:r>
    </w:p>
    <w:p w14:paraId="5F11DCA2" w14:textId="77777777" w:rsidR="005B129F" w:rsidRDefault="005B129F" w:rsidP="005B129F">
      <w:pPr>
        <w:spacing w:after="0" w:line="240" w:lineRule="auto"/>
        <w:contextualSpacing/>
        <w:rPr>
          <w:rFonts w:ascii="Arial" w:eastAsia="Arial" w:hAnsi="Arial" w:cs="Arial"/>
        </w:rPr>
      </w:pPr>
    </w:p>
    <w:p w14:paraId="4B4A269E" w14:textId="77777777" w:rsidR="005B129F" w:rsidRPr="00024D0F" w:rsidRDefault="005B129F" w:rsidP="005B129F">
      <w:pPr>
        <w:spacing w:after="0" w:line="240" w:lineRule="auto"/>
        <w:contextualSpacing/>
        <w:rPr>
          <w:rFonts w:ascii="Calibri" w:eastAsia="Arial" w:hAnsi="Calibri" w:cs="Calibri"/>
          <w:color w:val="000000" w:themeColor="text1"/>
        </w:rPr>
      </w:pPr>
      <w:r w:rsidRPr="00024D0F">
        <w:rPr>
          <w:rFonts w:ascii="Calibri" w:hAnsi="Calibri" w:cs="Calibri"/>
          <w:noProof/>
        </w:rPr>
        <w:drawing>
          <wp:anchor distT="0" distB="0" distL="114300" distR="114300" simplePos="0" relativeHeight="251658240" behindDoc="0" locked="0" layoutInCell="1" allowOverlap="1" wp14:anchorId="362F4227" wp14:editId="077B221E">
            <wp:simplePos x="0" y="0"/>
            <wp:positionH relativeFrom="margin">
              <wp:align>left</wp:align>
            </wp:positionH>
            <wp:positionV relativeFrom="paragraph">
              <wp:posOffset>22436</wp:posOffset>
            </wp:positionV>
            <wp:extent cx="1828165" cy="1698625"/>
            <wp:effectExtent l="19050" t="19050" r="19685" b="15875"/>
            <wp:wrapSquare wrapText="bothSides"/>
            <wp:docPr id="169434285" name="drawing" descr="Photo of Dr. Douglas Phanstiel, Associate Professor of Cell Biology and Physiology at UNC Chapel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4285" name="drawing" descr="Photo of Dr. Douglas Phanstiel, Associate Professor of Cell Biology and Physiology at UNC Chapel Hill"/>
                    <pic:cNvPicPr/>
                  </pic:nvPicPr>
                  <pic:blipFill>
                    <a:blip r:embed="rId23">
                      <a:extLst>
                        <a:ext uri="{28A0092B-C50C-407E-A947-70E740481C1C}">
                          <a14:useLocalDpi xmlns:a14="http://schemas.microsoft.com/office/drawing/2010/main"/>
                        </a:ext>
                      </a:extLst>
                    </a:blip>
                    <a:stretch>
                      <a:fillRect/>
                    </a:stretch>
                  </pic:blipFill>
                  <pic:spPr>
                    <a:xfrm>
                      <a:off x="0" y="0"/>
                      <a:ext cx="1828165" cy="1698625"/>
                    </a:xfrm>
                    <a:prstGeom prst="rect">
                      <a:avLst/>
                    </a:prstGeom>
                    <a:ln w="9525">
                      <a:solidFill>
                        <a:srgbClr val="0070C0"/>
                      </a:solidFill>
                      <a:prstDash val="solid"/>
                    </a:ln>
                  </pic:spPr>
                </pic:pic>
              </a:graphicData>
            </a:graphic>
            <wp14:sizeRelH relativeFrom="page">
              <wp14:pctWidth>0</wp14:pctWidth>
            </wp14:sizeRelH>
            <wp14:sizeRelV relativeFrom="page">
              <wp14:pctHeight>0</wp14:pctHeight>
            </wp14:sizeRelV>
          </wp:anchor>
        </w:drawing>
      </w:r>
      <w:r w:rsidRPr="00024D0F">
        <w:rPr>
          <w:rFonts w:ascii="Calibri" w:eastAsia="Arial" w:hAnsi="Calibri" w:cs="Calibri"/>
        </w:rPr>
        <w:t xml:space="preserve">     This year’s keynote speaker is Dr. Douglas Phanstiel who is an Associate Professor of Cell Biology &amp; Physiology in the Thurston Arthritis Research Center at the University of North Carolina at Chapel Hill.  Although his research team has been incredibly successful since he started at UNC, he</w:t>
      </w:r>
      <w:r w:rsidRPr="00024D0F">
        <w:rPr>
          <w:rFonts w:ascii="Calibri" w:eastAsia="Arial" w:hAnsi="Calibri" w:cs="Calibri"/>
          <w:color w:val="000000" w:themeColor="text1"/>
        </w:rPr>
        <w:t xml:space="preserve"> “actually wasn’t interested in biology or science at all in high school” and “was pretty undecided on a major and initially leaned toward psychology.” Doug’s interest in STEM fields was sparked in a required organic chemistry class! </w:t>
      </w:r>
    </w:p>
    <w:p w14:paraId="76B84739" w14:textId="77777777" w:rsidR="005B129F" w:rsidRPr="00024D0F" w:rsidRDefault="005B129F" w:rsidP="005B129F">
      <w:pPr>
        <w:spacing w:after="0" w:line="240" w:lineRule="auto"/>
        <w:rPr>
          <w:rFonts w:ascii="Calibri" w:eastAsia="Arial" w:hAnsi="Calibri" w:cs="Calibri"/>
          <w:color w:val="000000" w:themeColor="text1"/>
        </w:rPr>
      </w:pPr>
      <w:r w:rsidRPr="00024D0F">
        <w:rPr>
          <w:rFonts w:ascii="Calibri" w:eastAsia="Arial" w:hAnsi="Calibri" w:cs="Calibri"/>
          <w:color w:val="000000" w:themeColor="text1"/>
        </w:rPr>
        <w:t xml:space="preserve">     After college, Doug worked for a small biotech company in San Diego for a few years. He enjoyed the work, but didn’t feel a connection to it or any ownership of his projects as a lab technician. So, he moved to the Czech Republic and taught English for a year, which provided him the space to really reflect on what he wanted to do next. This led him to Seattle, where he worked at the Fred Hutchinson Cancer Research Center running mass spectrometers to do proteomics work aimed at detecting cancer biomarkers. This was Doug’s first real exposure to academic research and he “quickly fell in love with the feeling of being at the edge of human knowledge”. He went to graduate school at the University of Wisconsin in a lab that was building the next generation of mass spectrometers. His research focused on using mass spectrometry to study induced pluripotent stem cells, which was a recent innovation in the field. To analyze the data, he had to learn how to program, and that inspired Doug to pursue a postdoc focused on bioinformatics. In his postdoc at Stanford, Doug developed new software for genomic analysis and visualization and applied it to study how DNA folding influences gene transcription during development. This created the foundation for his current research at UNC Chapel Hill. </w:t>
      </w:r>
    </w:p>
    <w:p w14:paraId="16914F05" w14:textId="77777777" w:rsidR="005B129F" w:rsidRPr="00024D0F" w:rsidRDefault="005B129F" w:rsidP="005B129F">
      <w:pPr>
        <w:spacing w:after="0" w:line="240" w:lineRule="auto"/>
        <w:rPr>
          <w:rFonts w:ascii="Calibri" w:eastAsia="Arial" w:hAnsi="Calibri" w:cs="Calibri"/>
          <w:color w:val="000000" w:themeColor="text1"/>
        </w:rPr>
      </w:pPr>
      <w:r w:rsidRPr="00024D0F">
        <w:rPr>
          <w:rFonts w:ascii="Calibri" w:eastAsia="Arial" w:hAnsi="Calibri" w:cs="Calibri"/>
          <w:color w:val="000000" w:themeColor="text1"/>
        </w:rPr>
        <w:t xml:space="preserve">     One of Doug’s current projects involves using CRISPR technology and cow stem cells to create cultivated meat that is safe for consumption by the roughly half a million Americans living with mammalian meat allergies. When asked about this project, Doug said that he loves it because “it’s so different from our other work and because it has the potential to directly solve an emerging public health issue”. He shared that it excites him “that we get to learn things no one has ever known before. The possibility that these discoveries can one day improve human health and well-being is incredibly motivating”.</w:t>
      </w:r>
    </w:p>
    <w:p w14:paraId="5F91294A" w14:textId="4A850948" w:rsidR="005B129F" w:rsidRDefault="005B129F" w:rsidP="005B129F">
      <w:pPr>
        <w:spacing w:after="0" w:line="240" w:lineRule="auto"/>
        <w:contextualSpacing/>
        <w:rPr>
          <w:rFonts w:ascii="Calibri" w:eastAsia="Arial" w:hAnsi="Calibri" w:cs="Calibri"/>
          <w:color w:val="000000" w:themeColor="text1"/>
        </w:rPr>
      </w:pPr>
      <w:r w:rsidRPr="00024D0F">
        <w:rPr>
          <w:rFonts w:ascii="Calibri" w:eastAsia="Arial" w:hAnsi="Calibri" w:cs="Calibri"/>
          <w:color w:val="000000" w:themeColor="text1"/>
        </w:rPr>
        <w:t xml:space="preserve">     When asked if he had any advice that he wishes he had received as an undergraduate, he emphasized that everyone’s path to success is different. He admitted he “was not the smartest or best student. Many concepts were difficult for me at first, and my GPA was never particularly high". He shared that he didn’t think he was smart enough for graduate school, and “certainly never imagined I could one day be a professor”. However, through his own professional development and mentoring students, he realized “that everyone has different strengths, and leaning into those strengths can lead to incredible success”. He also added that “people whose </w:t>
      </w:r>
      <w:r w:rsidRPr="00024D0F">
        <w:rPr>
          <w:rFonts w:ascii="Calibri" w:eastAsia="Arial" w:hAnsi="Calibri" w:cs="Calibri"/>
          <w:color w:val="000000" w:themeColor="text1"/>
        </w:rPr>
        <w:lastRenderedPageBreak/>
        <w:t xml:space="preserve">strengths differ from standard academic metrics (like grades) often thrive because their unique perspectives, experiences, and approaches help them see problems in ways others might miss”. </w:t>
      </w:r>
    </w:p>
    <w:p w14:paraId="699AB47D" w14:textId="77777777" w:rsidR="00F55E3A" w:rsidRPr="00B051AC" w:rsidRDefault="00F55E3A" w:rsidP="00F55E3A">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66D36A5B" w14:textId="77777777" w:rsidR="008C5F35" w:rsidRDefault="008C5F35" w:rsidP="005B129F">
      <w:pPr>
        <w:spacing w:after="0" w:line="240" w:lineRule="auto"/>
        <w:contextualSpacing/>
        <w:rPr>
          <w:rFonts w:ascii="Calibri" w:eastAsia="Arial" w:hAnsi="Calibri" w:cs="Calibri"/>
          <w:color w:val="000000" w:themeColor="text1"/>
        </w:rPr>
      </w:pPr>
    </w:p>
    <w:p w14:paraId="4A2CCC5F" w14:textId="17E1AAFA" w:rsidR="008C5F35" w:rsidRDefault="008C5F35" w:rsidP="008C5F35">
      <w:pPr>
        <w:autoSpaceDE w:val="0"/>
        <w:autoSpaceDN w:val="0"/>
        <w:adjustRightInd w:val="0"/>
        <w:spacing w:after="0" w:line="240" w:lineRule="auto"/>
        <w:jc w:val="center"/>
        <w:rPr>
          <w:rFonts w:ascii="Calibri" w:hAnsi="Calibri" w:cs="Calibri"/>
          <w:b/>
          <w:bCs/>
          <w:color w:val="000000"/>
          <w:kern w:val="0"/>
          <w:sz w:val="32"/>
          <w:szCs w:val="32"/>
        </w:rPr>
      </w:pPr>
      <w:bookmarkStart w:id="4" w:name="ResumeTuneup"/>
      <w:r w:rsidRPr="008C5F35">
        <w:rPr>
          <w:rFonts w:ascii="Calibri" w:hAnsi="Calibri" w:cs="Calibri"/>
          <w:b/>
          <w:bCs/>
          <w:color w:val="000000"/>
          <w:kern w:val="0"/>
          <w:sz w:val="32"/>
          <w:szCs w:val="32"/>
        </w:rPr>
        <w:t>Resumé Tune-Up</w:t>
      </w:r>
      <w:r w:rsidR="00E15E32">
        <w:rPr>
          <w:rFonts w:ascii="Calibri" w:hAnsi="Calibri" w:cs="Calibri"/>
          <w:b/>
          <w:bCs/>
          <w:color w:val="000000"/>
          <w:kern w:val="0"/>
          <w:sz w:val="32"/>
          <w:szCs w:val="32"/>
        </w:rPr>
        <w:t xml:space="preserve"> (8:30-12:30 AM)</w:t>
      </w:r>
    </w:p>
    <w:bookmarkEnd w:id="4"/>
    <w:p w14:paraId="1D97062D" w14:textId="77777777" w:rsidR="007E13BB" w:rsidRPr="0099530D" w:rsidRDefault="007E13BB" w:rsidP="008C5F35">
      <w:pPr>
        <w:autoSpaceDE w:val="0"/>
        <w:autoSpaceDN w:val="0"/>
        <w:adjustRightInd w:val="0"/>
        <w:spacing w:after="0" w:line="240" w:lineRule="auto"/>
        <w:jc w:val="center"/>
        <w:rPr>
          <w:rFonts w:ascii="Calibri" w:hAnsi="Calibri" w:cs="Calibri"/>
          <w:b/>
          <w:bCs/>
          <w:color w:val="000000"/>
          <w:kern w:val="0"/>
          <w:sz w:val="20"/>
          <w:szCs w:val="20"/>
        </w:rPr>
      </w:pPr>
    </w:p>
    <w:p w14:paraId="4F4A831C" w14:textId="3DE2607F" w:rsidR="008C5F35" w:rsidRDefault="007E13BB" w:rsidP="003A4E8C">
      <w:pPr>
        <w:autoSpaceDE w:val="0"/>
        <w:autoSpaceDN w:val="0"/>
        <w:adjustRightInd w:val="0"/>
        <w:spacing w:after="0" w:line="240" w:lineRule="auto"/>
        <w:rPr>
          <w:rFonts w:ascii="Calibri" w:hAnsi="Calibri" w:cs="Calibri"/>
          <w:color w:val="000000"/>
          <w:kern w:val="0"/>
        </w:rPr>
      </w:pPr>
      <w:r>
        <w:rPr>
          <w:rFonts w:ascii="Calibri" w:hAnsi="Calibri" w:cs="Calibri"/>
          <w:color w:val="000000"/>
          <w:kern w:val="0"/>
        </w:rPr>
        <w:t xml:space="preserve">Laurie Judge, </w:t>
      </w:r>
      <w:r w:rsidRPr="007E13BB">
        <w:rPr>
          <w:rFonts w:ascii="Calibri" w:hAnsi="Calibri" w:cs="Calibri"/>
          <w:color w:val="000000"/>
          <w:kern w:val="0"/>
        </w:rPr>
        <w:t xml:space="preserve">Director of Career Services for </w:t>
      </w:r>
      <w:r w:rsidR="009C47CC">
        <w:rPr>
          <w:rFonts w:ascii="Calibri" w:hAnsi="Calibri" w:cs="Calibri"/>
          <w:color w:val="000000"/>
          <w:kern w:val="0"/>
        </w:rPr>
        <w:t>E</w:t>
      </w:r>
      <w:r w:rsidRPr="007E13BB">
        <w:rPr>
          <w:rFonts w:ascii="Calibri" w:hAnsi="Calibri" w:cs="Calibri"/>
          <w:color w:val="000000"/>
          <w:kern w:val="0"/>
        </w:rPr>
        <w:t>lon College</w:t>
      </w:r>
      <w:r w:rsidR="00AE3830" w:rsidRPr="00AE3830">
        <w:rPr>
          <w:rFonts w:ascii="Calibri" w:hAnsi="Calibri" w:cs="Calibri"/>
          <w:color w:val="000000"/>
          <w:kern w:val="0"/>
        </w:rPr>
        <w:t>, the College of Arts &amp; Sciences</w:t>
      </w:r>
      <w:r w:rsidR="00D303AC">
        <w:rPr>
          <w:rFonts w:ascii="Calibri" w:hAnsi="Calibri" w:cs="Calibri"/>
          <w:color w:val="000000"/>
          <w:kern w:val="0"/>
        </w:rPr>
        <w:t xml:space="preserve"> (CAS) at Elon University</w:t>
      </w:r>
      <w:r w:rsidR="00E15E32">
        <w:rPr>
          <w:rFonts w:ascii="Calibri" w:hAnsi="Calibri" w:cs="Calibri"/>
          <w:color w:val="000000"/>
          <w:kern w:val="0"/>
        </w:rPr>
        <w:t xml:space="preserve"> will be </w:t>
      </w:r>
      <w:r w:rsidR="008159AC">
        <w:rPr>
          <w:rFonts w:ascii="Calibri" w:hAnsi="Calibri" w:cs="Calibri"/>
          <w:color w:val="000000"/>
          <w:kern w:val="0"/>
        </w:rPr>
        <w:t xml:space="preserve">at a table </w:t>
      </w:r>
      <w:r w:rsidR="00E15E32">
        <w:rPr>
          <w:rFonts w:ascii="Calibri" w:hAnsi="Calibri" w:cs="Calibri"/>
          <w:color w:val="000000"/>
          <w:kern w:val="0"/>
        </w:rPr>
        <w:t xml:space="preserve">in the exhibitor’s area </w:t>
      </w:r>
      <w:r w:rsidR="00D33C78">
        <w:rPr>
          <w:rFonts w:ascii="Calibri" w:hAnsi="Calibri" w:cs="Calibri"/>
          <w:color w:val="000000"/>
          <w:kern w:val="0"/>
        </w:rPr>
        <w:t xml:space="preserve">of KOBC </w:t>
      </w:r>
      <w:r w:rsidR="00DE4001">
        <w:rPr>
          <w:rFonts w:ascii="Calibri" w:hAnsi="Calibri" w:cs="Calibri"/>
          <w:color w:val="000000"/>
          <w:kern w:val="0"/>
        </w:rPr>
        <w:t xml:space="preserve">to answer questions about life after college and provide advice on how to </w:t>
      </w:r>
      <w:r w:rsidR="004F00BB">
        <w:rPr>
          <w:rFonts w:ascii="Calibri" w:hAnsi="Calibri" w:cs="Calibri"/>
          <w:color w:val="000000"/>
          <w:kern w:val="0"/>
        </w:rPr>
        <w:t xml:space="preserve">strengthen your resumé or </w:t>
      </w:r>
      <w:r w:rsidR="004F00BB" w:rsidRPr="004F00BB">
        <w:rPr>
          <w:rFonts w:ascii="Calibri" w:hAnsi="Calibri" w:cs="Calibri"/>
          <w:i/>
          <w:iCs/>
          <w:color w:val="000000"/>
          <w:kern w:val="0"/>
        </w:rPr>
        <w:t>Curriculum Vitae</w:t>
      </w:r>
      <w:r w:rsidR="004F00BB">
        <w:rPr>
          <w:rFonts w:ascii="Calibri" w:hAnsi="Calibri" w:cs="Calibri"/>
          <w:color w:val="000000"/>
          <w:kern w:val="0"/>
        </w:rPr>
        <w:t>.</w:t>
      </w:r>
      <w:r w:rsidR="00D303AC">
        <w:rPr>
          <w:rFonts w:ascii="Calibri" w:hAnsi="Calibri" w:cs="Calibri"/>
          <w:color w:val="000000"/>
          <w:kern w:val="0"/>
        </w:rPr>
        <w:t xml:space="preserve"> </w:t>
      </w:r>
      <w:r w:rsidR="00AE3830" w:rsidRPr="00AE3830">
        <w:rPr>
          <w:rFonts w:ascii="Calibri" w:hAnsi="Calibri" w:cs="Calibri"/>
          <w:color w:val="000000"/>
          <w:kern w:val="0"/>
        </w:rPr>
        <w:t xml:space="preserve"> </w:t>
      </w:r>
      <w:r w:rsidR="00D33C78">
        <w:rPr>
          <w:rFonts w:ascii="Calibri" w:hAnsi="Calibri" w:cs="Calibri"/>
          <w:color w:val="000000"/>
          <w:kern w:val="0"/>
        </w:rPr>
        <w:t xml:space="preserve">Laurie </w:t>
      </w:r>
      <w:r w:rsidR="00AE3830" w:rsidRPr="00AE3830">
        <w:rPr>
          <w:rFonts w:ascii="Calibri" w:hAnsi="Calibri" w:cs="Calibri"/>
          <w:color w:val="000000"/>
          <w:kern w:val="0"/>
        </w:rPr>
        <w:t>advis</w:t>
      </w:r>
      <w:r w:rsidR="00D33C78">
        <w:rPr>
          <w:rFonts w:ascii="Calibri" w:hAnsi="Calibri" w:cs="Calibri"/>
          <w:color w:val="000000"/>
          <w:kern w:val="0"/>
        </w:rPr>
        <w:t xml:space="preserve">es </w:t>
      </w:r>
      <w:r w:rsidR="00AE3830" w:rsidRPr="00AE3830">
        <w:rPr>
          <w:rFonts w:ascii="Calibri" w:hAnsi="Calibri" w:cs="Calibri"/>
          <w:color w:val="000000"/>
          <w:kern w:val="0"/>
        </w:rPr>
        <w:t>students and alumni in all career-related areas and work</w:t>
      </w:r>
      <w:r w:rsidR="00D33C78">
        <w:rPr>
          <w:rFonts w:ascii="Calibri" w:hAnsi="Calibri" w:cs="Calibri"/>
          <w:color w:val="000000"/>
          <w:kern w:val="0"/>
        </w:rPr>
        <w:t>s</w:t>
      </w:r>
      <w:r w:rsidR="00AE3830" w:rsidRPr="00AE3830">
        <w:rPr>
          <w:rFonts w:ascii="Calibri" w:hAnsi="Calibri" w:cs="Calibri"/>
          <w:color w:val="000000"/>
          <w:kern w:val="0"/>
        </w:rPr>
        <w:t xml:space="preserve"> closely with faculty and staff to support career programming for 21 departments and 50+ majors within the College.  </w:t>
      </w:r>
    </w:p>
    <w:p w14:paraId="1726AFEB" w14:textId="77777777" w:rsidR="00F55E3A" w:rsidRPr="00B051AC" w:rsidRDefault="00F55E3A" w:rsidP="00F55E3A">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0997684C" w14:textId="77777777" w:rsidR="00F55E3A" w:rsidRPr="00AE3830" w:rsidRDefault="00F55E3A" w:rsidP="003A4E8C">
      <w:pPr>
        <w:autoSpaceDE w:val="0"/>
        <w:autoSpaceDN w:val="0"/>
        <w:adjustRightInd w:val="0"/>
        <w:spacing w:after="0" w:line="240" w:lineRule="auto"/>
        <w:rPr>
          <w:rFonts w:ascii="Calibri" w:eastAsia="Arial" w:hAnsi="Calibri" w:cs="Calibri"/>
          <w:color w:val="000000" w:themeColor="text1"/>
        </w:rPr>
      </w:pPr>
    </w:p>
    <w:p w14:paraId="5EE9D7BE" w14:textId="77777777" w:rsidR="005B129F" w:rsidRDefault="005B129F" w:rsidP="005B129F">
      <w:pPr>
        <w:spacing w:after="0" w:line="240" w:lineRule="auto"/>
        <w:contextualSpacing/>
        <w:rPr>
          <w:rFonts w:ascii="Calibri" w:eastAsia="Arial" w:hAnsi="Calibri" w:cs="Calibri"/>
          <w:color w:val="000000" w:themeColor="text1"/>
        </w:rPr>
      </w:pPr>
    </w:p>
    <w:p w14:paraId="4C068863" w14:textId="77777777" w:rsidR="005B129F" w:rsidRPr="00B40F99" w:rsidRDefault="005B129F" w:rsidP="005B129F">
      <w:pPr>
        <w:spacing w:after="0" w:line="240" w:lineRule="auto"/>
        <w:contextualSpacing/>
        <w:jc w:val="center"/>
        <w:rPr>
          <w:rFonts w:ascii="Calibri" w:hAnsi="Calibri" w:cs="Calibri"/>
          <w:b/>
          <w:bCs/>
          <w:sz w:val="32"/>
          <w:szCs w:val="32"/>
        </w:rPr>
      </w:pPr>
      <w:bookmarkStart w:id="5" w:name="ConAftWork"/>
      <w:r w:rsidRPr="00B40F99">
        <w:rPr>
          <w:rFonts w:ascii="Calibri" w:hAnsi="Calibri" w:cs="Calibri"/>
          <w:b/>
          <w:bCs/>
          <w:sz w:val="32"/>
          <w:szCs w:val="32"/>
        </w:rPr>
        <w:t>Concurrent Afternoon Workshops (2:15 – 3:15 PM)</w:t>
      </w:r>
      <w:bookmarkEnd w:id="5"/>
    </w:p>
    <w:p w14:paraId="31AB1B2D" w14:textId="77777777" w:rsidR="005B129F" w:rsidRPr="00B40F99" w:rsidRDefault="005B129F" w:rsidP="005B129F">
      <w:pPr>
        <w:spacing w:after="0" w:line="240" w:lineRule="auto"/>
        <w:contextualSpacing/>
        <w:rPr>
          <w:rFonts w:ascii="Calibri" w:hAnsi="Calibri" w:cs="Calibri"/>
          <w:b/>
          <w:bCs/>
          <w:sz w:val="32"/>
          <w:szCs w:val="32"/>
        </w:rPr>
      </w:pPr>
    </w:p>
    <w:p w14:paraId="0C3E65B1" w14:textId="77777777" w:rsidR="005B129F" w:rsidRPr="00E1041B" w:rsidRDefault="005B129F" w:rsidP="005B129F">
      <w:pPr>
        <w:spacing w:after="0" w:line="240" w:lineRule="auto"/>
        <w:contextualSpacing/>
        <w:jc w:val="center"/>
        <w:rPr>
          <w:rFonts w:ascii="Calibri" w:hAnsi="Calibri" w:cs="Calibri"/>
          <w:b/>
          <w:bCs/>
        </w:rPr>
      </w:pPr>
      <w:bookmarkStart w:id="6" w:name="SandAworkshop"/>
      <w:r w:rsidRPr="00E1041B">
        <w:rPr>
          <w:rFonts w:ascii="Calibri" w:hAnsi="Calibri" w:cs="Calibri"/>
          <w:b/>
          <w:bCs/>
        </w:rPr>
        <w:t>Science and Advocacy 101: Turning Evidence into Impact (KOBC 208)</w:t>
      </w:r>
    </w:p>
    <w:bookmarkEnd w:id="6"/>
    <w:p w14:paraId="50CFF0B2" w14:textId="77777777" w:rsidR="005B129F" w:rsidRDefault="005B129F" w:rsidP="005B129F">
      <w:pPr>
        <w:spacing w:after="0" w:line="240" w:lineRule="auto"/>
        <w:contextualSpacing/>
        <w:jc w:val="center"/>
        <w:rPr>
          <w:rFonts w:ascii="Calibri" w:hAnsi="Calibri" w:cs="Calibri"/>
          <w:b/>
          <w:bCs/>
        </w:rPr>
      </w:pPr>
      <w:r w:rsidRPr="00E1041B">
        <w:rPr>
          <w:rFonts w:ascii="Calibri" w:hAnsi="Calibri" w:cs="Calibri"/>
          <w:b/>
          <w:bCs/>
        </w:rPr>
        <w:t>Andrés Bachelet, Bilingual Outreach Coordinator</w:t>
      </w:r>
    </w:p>
    <w:p w14:paraId="5451BBBF" w14:textId="77777777" w:rsidR="005B129F" w:rsidRPr="00E1041B" w:rsidRDefault="005B129F" w:rsidP="005B129F">
      <w:pPr>
        <w:spacing w:after="0" w:line="240" w:lineRule="auto"/>
        <w:contextualSpacing/>
        <w:jc w:val="center"/>
        <w:rPr>
          <w:rFonts w:ascii="Calibri" w:hAnsi="Calibri" w:cs="Calibri"/>
          <w:b/>
          <w:bCs/>
        </w:rPr>
      </w:pPr>
      <w:r w:rsidRPr="00E1041B">
        <w:rPr>
          <w:rFonts w:ascii="Calibri" w:hAnsi="Calibri" w:cs="Calibri"/>
          <w:b/>
          <w:bCs/>
        </w:rPr>
        <w:t>Center for Science and Democracy at the Union of Concerned Scientists.</w:t>
      </w:r>
    </w:p>
    <w:p w14:paraId="5E9C7B7B" w14:textId="77777777" w:rsidR="005B129F" w:rsidRPr="00835B71" w:rsidRDefault="005B129F" w:rsidP="005B129F">
      <w:pPr>
        <w:spacing w:after="0" w:line="240" w:lineRule="auto"/>
        <w:contextualSpacing/>
        <w:rPr>
          <w:rFonts w:ascii="Calibri" w:hAnsi="Calibri" w:cs="Calibri"/>
        </w:rPr>
      </w:pPr>
      <w:r w:rsidRPr="00835B71">
        <w:rPr>
          <w:rFonts w:ascii="Calibri" w:hAnsi="Calibri" w:cs="Calibri"/>
        </w:rPr>
        <w:t>This introductory workshop explores how scientists and scholars can engage in advocacy while upholding scientific integrity. We’ll cover the basics of why advocacy matters, how to effectively communicate science to decision-makers and the public, and practical ways researchers can use their expertise to inform policy and strengthen democracy. Designed for those new to science advocacy, this session will provide foundational tools and examples to help participants begin connecting their research with real-world change.</w:t>
      </w:r>
    </w:p>
    <w:p w14:paraId="343A0982" w14:textId="77777777" w:rsidR="005B129F" w:rsidRPr="00835B71" w:rsidRDefault="005B129F" w:rsidP="005B129F">
      <w:pPr>
        <w:spacing w:after="0" w:line="240" w:lineRule="auto"/>
        <w:contextualSpacing/>
        <w:rPr>
          <w:rFonts w:ascii="Calibri" w:hAnsi="Calibri" w:cs="Calibri"/>
        </w:rPr>
      </w:pPr>
    </w:p>
    <w:p w14:paraId="318B8251" w14:textId="77777777" w:rsidR="005B129F" w:rsidRPr="00927BB7" w:rsidRDefault="005B129F" w:rsidP="005B129F">
      <w:pPr>
        <w:spacing w:after="0" w:line="240" w:lineRule="auto"/>
        <w:contextualSpacing/>
        <w:jc w:val="center"/>
        <w:rPr>
          <w:rFonts w:ascii="Calibri" w:hAnsi="Calibri" w:cs="Calibri"/>
          <w:b/>
          <w:bCs/>
        </w:rPr>
      </w:pPr>
      <w:bookmarkStart w:id="7" w:name="DataAnalWorkshop"/>
      <w:r w:rsidRPr="00927BB7">
        <w:rPr>
          <w:rFonts w:ascii="Calibri" w:hAnsi="Calibri" w:cs="Calibri"/>
          <w:b/>
          <w:bCs/>
        </w:rPr>
        <w:t>W.E.B. Dubois Revolutionary Data Portraits</w:t>
      </w:r>
      <w:r>
        <w:rPr>
          <w:rFonts w:ascii="Calibri" w:hAnsi="Calibri" w:cs="Calibri"/>
          <w:b/>
          <w:bCs/>
        </w:rPr>
        <w:t xml:space="preserve"> (KOBC 211)</w:t>
      </w:r>
    </w:p>
    <w:bookmarkEnd w:id="7"/>
    <w:p w14:paraId="5A9E5755" w14:textId="77777777" w:rsidR="003263B2" w:rsidRDefault="005B129F" w:rsidP="005B129F">
      <w:pPr>
        <w:spacing w:after="0" w:line="240" w:lineRule="auto"/>
        <w:contextualSpacing/>
        <w:jc w:val="center"/>
        <w:rPr>
          <w:rFonts w:ascii="Calibri" w:hAnsi="Calibri" w:cs="Calibri"/>
          <w:b/>
          <w:bCs/>
        </w:rPr>
      </w:pPr>
      <w:r w:rsidRPr="00927BB7">
        <w:rPr>
          <w:rFonts w:ascii="Calibri" w:hAnsi="Calibri" w:cs="Calibri"/>
          <w:b/>
          <w:bCs/>
        </w:rPr>
        <w:t>Crista Arangala, Director of Data Nexus and Professor of Mathematics</w:t>
      </w:r>
      <w:r w:rsidR="003263B2">
        <w:rPr>
          <w:rFonts w:ascii="Calibri" w:hAnsi="Calibri" w:cs="Calibri"/>
          <w:b/>
          <w:bCs/>
        </w:rPr>
        <w:t xml:space="preserve"> and </w:t>
      </w:r>
    </w:p>
    <w:p w14:paraId="501318D8" w14:textId="1DA19358" w:rsidR="005B129F" w:rsidRPr="00927BB7" w:rsidRDefault="003263B2" w:rsidP="005B129F">
      <w:pPr>
        <w:spacing w:after="0" w:line="240" w:lineRule="auto"/>
        <w:contextualSpacing/>
        <w:jc w:val="center"/>
        <w:rPr>
          <w:rFonts w:ascii="Calibri" w:hAnsi="Calibri" w:cs="Calibri"/>
          <w:b/>
          <w:bCs/>
        </w:rPr>
      </w:pPr>
      <w:r w:rsidRPr="003263B2">
        <w:rPr>
          <w:rFonts w:ascii="Calibri" w:hAnsi="Calibri" w:cs="Calibri"/>
          <w:b/>
          <w:bCs/>
        </w:rPr>
        <w:t xml:space="preserve">Kristen </w:t>
      </w:r>
      <w:r>
        <w:rPr>
          <w:rFonts w:ascii="Calibri" w:hAnsi="Calibri" w:cs="Calibri"/>
          <w:b/>
          <w:bCs/>
        </w:rPr>
        <w:t>Mazur</w:t>
      </w:r>
      <w:r w:rsidRPr="003263B2">
        <w:rPr>
          <w:rFonts w:ascii="Calibri" w:hAnsi="Calibri" w:cs="Calibri"/>
          <w:b/>
          <w:bCs/>
        </w:rPr>
        <w:t xml:space="preserve"> Associate Professor of Mathematics and Statistics</w:t>
      </w:r>
    </w:p>
    <w:p w14:paraId="07ACF1E3" w14:textId="77777777" w:rsidR="005B129F" w:rsidRPr="00927BB7" w:rsidRDefault="005B129F" w:rsidP="005B129F">
      <w:pPr>
        <w:spacing w:after="0" w:line="240" w:lineRule="auto"/>
        <w:contextualSpacing/>
        <w:jc w:val="center"/>
        <w:rPr>
          <w:rFonts w:ascii="Calibri" w:hAnsi="Calibri" w:cs="Calibri"/>
          <w:b/>
          <w:bCs/>
        </w:rPr>
      </w:pPr>
      <w:r w:rsidRPr="00927BB7">
        <w:rPr>
          <w:rFonts w:ascii="Calibri" w:hAnsi="Calibri" w:cs="Calibri"/>
          <w:b/>
          <w:bCs/>
        </w:rPr>
        <w:t>Elon University</w:t>
      </w:r>
    </w:p>
    <w:p w14:paraId="10C835A9" w14:textId="77777777" w:rsidR="005B129F" w:rsidRPr="00835B71" w:rsidRDefault="005B129F" w:rsidP="005B129F">
      <w:pPr>
        <w:spacing w:after="0" w:line="240" w:lineRule="auto"/>
        <w:contextualSpacing/>
        <w:rPr>
          <w:rFonts w:ascii="Calibri" w:hAnsi="Calibri" w:cs="Calibri"/>
        </w:rPr>
      </w:pPr>
      <w:r w:rsidRPr="00835B71">
        <w:rPr>
          <w:rFonts w:ascii="Calibri" w:hAnsi="Calibri" w:cs="Calibri"/>
        </w:rPr>
        <w:t xml:space="preserve">This </w:t>
      </w:r>
      <w:r>
        <w:rPr>
          <w:rFonts w:ascii="Calibri" w:hAnsi="Calibri" w:cs="Calibri"/>
        </w:rPr>
        <w:t xml:space="preserve">workshop </w:t>
      </w:r>
      <w:r w:rsidRPr="00835B71">
        <w:rPr>
          <w:rFonts w:ascii="Calibri" w:hAnsi="Calibri" w:cs="Calibri"/>
        </w:rPr>
        <w:t>will explore the historical significance and artistic brilliance of W.E.B Dubois' Data Portraits while examining their impact on data story telling today. This will be an engaging workshop where participants explore W.E.B. Dubois' data story techniques applied to current and relevant data sets.</w:t>
      </w:r>
    </w:p>
    <w:p w14:paraId="649C0E3F" w14:textId="77777777" w:rsidR="00F55E3A" w:rsidRPr="00B051AC" w:rsidRDefault="00F55E3A" w:rsidP="00F55E3A">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6BBF3D9A" w14:textId="77777777" w:rsidR="005B129F" w:rsidRDefault="005B129F" w:rsidP="005B129F">
      <w:pPr>
        <w:spacing w:after="0" w:line="240" w:lineRule="auto"/>
        <w:contextualSpacing/>
        <w:rPr>
          <w:rFonts w:ascii="Calibri" w:hAnsi="Calibri" w:cs="Calibri"/>
        </w:rPr>
      </w:pPr>
    </w:p>
    <w:p w14:paraId="43E9D628" w14:textId="77777777" w:rsidR="002114D5" w:rsidRDefault="002114D5" w:rsidP="005B129F">
      <w:pPr>
        <w:spacing w:after="0" w:line="240" w:lineRule="auto"/>
        <w:contextualSpacing/>
        <w:rPr>
          <w:rFonts w:ascii="Calibri" w:hAnsi="Calibri" w:cs="Calibri"/>
        </w:rPr>
      </w:pPr>
    </w:p>
    <w:p w14:paraId="56B47F47" w14:textId="77777777" w:rsidR="002114D5" w:rsidRDefault="002114D5" w:rsidP="005B129F">
      <w:pPr>
        <w:spacing w:after="0" w:line="240" w:lineRule="auto"/>
        <w:contextualSpacing/>
        <w:rPr>
          <w:rFonts w:ascii="Calibri" w:hAnsi="Calibri" w:cs="Calibri"/>
        </w:rPr>
      </w:pPr>
    </w:p>
    <w:p w14:paraId="60A74E3C" w14:textId="77777777" w:rsidR="002114D5" w:rsidRDefault="002114D5" w:rsidP="005B129F">
      <w:pPr>
        <w:spacing w:after="0" w:line="240" w:lineRule="auto"/>
        <w:contextualSpacing/>
        <w:rPr>
          <w:rFonts w:ascii="Calibri" w:hAnsi="Calibri" w:cs="Calibri"/>
        </w:rPr>
      </w:pPr>
    </w:p>
    <w:p w14:paraId="5CE68371" w14:textId="77777777" w:rsidR="002114D5" w:rsidRDefault="002114D5" w:rsidP="005B129F">
      <w:pPr>
        <w:spacing w:after="0" w:line="240" w:lineRule="auto"/>
        <w:contextualSpacing/>
        <w:rPr>
          <w:rFonts w:ascii="Calibri" w:hAnsi="Calibri" w:cs="Calibri"/>
        </w:rPr>
      </w:pPr>
    </w:p>
    <w:p w14:paraId="40A35FA4" w14:textId="77777777" w:rsidR="002114D5" w:rsidRPr="00835B71" w:rsidRDefault="002114D5" w:rsidP="005B129F">
      <w:pPr>
        <w:spacing w:after="0" w:line="240" w:lineRule="auto"/>
        <w:contextualSpacing/>
        <w:rPr>
          <w:rFonts w:ascii="Calibri" w:hAnsi="Calibri" w:cs="Calibri"/>
        </w:rPr>
      </w:pPr>
    </w:p>
    <w:p w14:paraId="1DC5F305" w14:textId="206331CF" w:rsidR="005B129F" w:rsidRPr="00806AF1" w:rsidRDefault="005B129F" w:rsidP="00806AF1">
      <w:pPr>
        <w:spacing w:after="0" w:line="240" w:lineRule="auto"/>
        <w:contextualSpacing/>
        <w:jc w:val="center"/>
        <w:rPr>
          <w:rFonts w:ascii="Calibri" w:hAnsi="Calibri" w:cs="Calibri"/>
          <w:b/>
          <w:bCs/>
          <w:sz w:val="28"/>
          <w:szCs w:val="28"/>
        </w:rPr>
      </w:pPr>
      <w:bookmarkStart w:id="8" w:name="CareerPanel"/>
      <w:r w:rsidRPr="00927BB7">
        <w:rPr>
          <w:rFonts w:ascii="Calibri" w:hAnsi="Calibri" w:cs="Calibri"/>
          <w:b/>
          <w:bCs/>
          <w:sz w:val="28"/>
          <w:szCs w:val="28"/>
        </w:rPr>
        <w:lastRenderedPageBreak/>
        <w:t>Careers in Science Panel</w:t>
      </w:r>
      <w:r>
        <w:rPr>
          <w:rFonts w:ascii="Calibri" w:hAnsi="Calibri" w:cs="Calibri"/>
          <w:b/>
          <w:bCs/>
          <w:sz w:val="28"/>
          <w:szCs w:val="28"/>
        </w:rPr>
        <w:t xml:space="preserve"> (KOBC 237)</w:t>
      </w:r>
    </w:p>
    <w:bookmarkEnd w:id="8"/>
    <w:p w14:paraId="4E08CF0C" w14:textId="67002EC4" w:rsidR="005B129F" w:rsidRPr="00835B71" w:rsidRDefault="005B129F" w:rsidP="005B129F">
      <w:pPr>
        <w:spacing w:after="0" w:line="240" w:lineRule="auto"/>
        <w:contextualSpacing/>
        <w:rPr>
          <w:rFonts w:ascii="Calibri" w:hAnsi="Calibri" w:cs="Calibri"/>
        </w:rPr>
      </w:pPr>
      <w:r>
        <w:rPr>
          <w:rFonts w:ascii="Calibri" w:hAnsi="Calibri" w:cs="Calibri"/>
        </w:rPr>
        <w:t xml:space="preserve">     </w:t>
      </w:r>
      <w:r w:rsidRPr="00786CEF">
        <w:rPr>
          <w:rFonts w:ascii="Calibri" w:hAnsi="Calibri" w:cs="Calibri"/>
          <w:b/>
          <w:bCs/>
        </w:rPr>
        <w:t>Megan McGrath</w:t>
      </w:r>
      <w:r w:rsidRPr="00835B71">
        <w:rPr>
          <w:rFonts w:ascii="Calibri" w:hAnsi="Calibri" w:cs="Calibri"/>
        </w:rPr>
        <w:t xml:space="preserve">’s professional career began with a wildlife internship during her final year at Elon University (Class of 2011). After six years working in all areas of that small non-profit organization, Megan joined the Duke Lemur Center in 2016 as education programs manager. In 2025, Megan completed her </w:t>
      </w:r>
      <w:r w:rsidR="00243D2F" w:rsidRPr="00835B71">
        <w:rPr>
          <w:rFonts w:ascii="Calibri" w:hAnsi="Calibri" w:cs="Calibri"/>
        </w:rPr>
        <w:t>master’s degree in biology</w:t>
      </w:r>
      <w:r w:rsidRPr="00835B71">
        <w:rPr>
          <w:rFonts w:ascii="Calibri" w:hAnsi="Calibri" w:cs="Calibri"/>
        </w:rPr>
        <w:t xml:space="preserve"> with Miami University's Project Dragonfly program, focusing on building equitable collaborations in conservation across cultures. Fun fact: A childhood friend once affectionately referred to Megan as "an encyclopedia of useless animal information," and she is proud to have built a career off of that niche skillset.</w:t>
      </w:r>
    </w:p>
    <w:p w14:paraId="535DC479" w14:textId="35633316" w:rsidR="005B129F" w:rsidRPr="00835B71" w:rsidRDefault="005B129F" w:rsidP="005B129F">
      <w:pPr>
        <w:spacing w:after="0" w:line="240" w:lineRule="auto"/>
        <w:contextualSpacing/>
        <w:rPr>
          <w:rFonts w:ascii="Calibri" w:hAnsi="Calibri" w:cs="Calibri"/>
        </w:rPr>
      </w:pPr>
      <w:r w:rsidRPr="00EE099B">
        <w:rPr>
          <w:rFonts w:ascii="Calibri" w:hAnsi="Calibri" w:cs="Calibri"/>
          <w:b/>
          <w:bCs/>
        </w:rPr>
        <w:t xml:space="preserve">     </w:t>
      </w:r>
      <w:r w:rsidRPr="00786CEF">
        <w:rPr>
          <w:rFonts w:ascii="Calibri" w:hAnsi="Calibri" w:cs="Calibri"/>
          <w:b/>
          <w:bCs/>
        </w:rPr>
        <w:t>Alexandra Atkins</w:t>
      </w:r>
      <w:r w:rsidRPr="00835B71">
        <w:rPr>
          <w:rFonts w:ascii="Calibri" w:hAnsi="Calibri" w:cs="Calibri"/>
        </w:rPr>
        <w:t xml:space="preserve"> received her undergraduate degree in Psychology from Oberlin College, her master’s degree from the University of Chicago and her PhD. From the University of Michigan. After completing her postdoctoral studies at Duke University, Alexandra left academia to work at VeraSci, a clinical research and technology company that supports the design and execution of clinical trials in areas such as neuroscience. After a decade at VeraSci as the Vice President of Scientific Development, Alexandra joined Eli Lilly and Company where she now works as a is a Senior Director of Clinical Research, specializing in neurodegeneration and Alzheimer’s disease. Fun fact: Alex grew up in Manhattan, which has led to a lifetime of disappointment in cities that do not have excellent ethnic food available at all hours.</w:t>
      </w:r>
    </w:p>
    <w:p w14:paraId="4F473F3B" w14:textId="77777777" w:rsidR="005B129F" w:rsidRPr="00835B71" w:rsidRDefault="005B129F" w:rsidP="005B129F">
      <w:pPr>
        <w:spacing w:after="0" w:line="240" w:lineRule="auto"/>
        <w:contextualSpacing/>
        <w:rPr>
          <w:rFonts w:ascii="Calibri" w:hAnsi="Calibri" w:cs="Calibri"/>
        </w:rPr>
      </w:pPr>
      <w:r w:rsidRPr="00786CEF">
        <w:rPr>
          <w:rFonts w:ascii="Calibri" w:hAnsi="Calibri" w:cs="Calibri"/>
          <w:b/>
          <w:bCs/>
        </w:rPr>
        <w:t xml:space="preserve">     Derrick Carr</w:t>
      </w:r>
      <w:r w:rsidRPr="00835B71">
        <w:rPr>
          <w:rFonts w:ascii="Calibri" w:hAnsi="Calibri" w:cs="Calibri"/>
        </w:rPr>
        <w:t xml:space="preserve"> received his B.S. in Astrophysics from Haverford College and his M.S. and PhD in Physics from the University of North Carolina at Chapel Hill. Derrick is a Senior Performance Engineer at NovaSource Power Services. His role involves analyzing large volumes of SCADA and operational data to diagnose performance issues, quantify losses, and evaluate how his portfolio of solar farms is operating relative to expected energy production. Using Python and databases as a tool, he ingests high-frequency data to determine the root cause of differences in measured output and modeled output and translate those findings into actionable items and recommendations for the customer. </w:t>
      </w:r>
    </w:p>
    <w:p w14:paraId="7B519C23" w14:textId="77777777" w:rsidR="005B129F" w:rsidRPr="00835B71" w:rsidRDefault="005B129F" w:rsidP="005B129F">
      <w:pPr>
        <w:spacing w:after="0" w:line="240" w:lineRule="auto"/>
        <w:contextualSpacing/>
        <w:rPr>
          <w:rFonts w:ascii="Calibri" w:hAnsi="Calibri" w:cs="Calibri"/>
        </w:rPr>
      </w:pPr>
      <w:r>
        <w:rPr>
          <w:rFonts w:ascii="Calibri" w:hAnsi="Calibri" w:cs="Calibri"/>
          <w:b/>
          <w:bCs/>
        </w:rPr>
        <w:t xml:space="preserve">     </w:t>
      </w:r>
      <w:r w:rsidRPr="00786CEF">
        <w:rPr>
          <w:rFonts w:ascii="Calibri" w:hAnsi="Calibri" w:cs="Calibri"/>
          <w:b/>
          <w:bCs/>
        </w:rPr>
        <w:t>Hema Ketha</w:t>
      </w:r>
      <w:r>
        <w:rPr>
          <w:rFonts w:ascii="Calibri" w:hAnsi="Calibri" w:cs="Calibri"/>
        </w:rPr>
        <w:t xml:space="preserve"> </w:t>
      </w:r>
      <w:r w:rsidRPr="00835B71">
        <w:rPr>
          <w:rFonts w:ascii="Calibri" w:hAnsi="Calibri" w:cs="Calibri"/>
        </w:rPr>
        <w:t>graduated from the University of Delhi, India in 2000. She received her master’s in science with an emphasis in organic chemistry in 2005 from University of Delhi and completed her PhD in pharmaceutical chemistry from University of Florida in Gainesville in 2010. Following her post-doctoral training, Dr Ketha joined Labcorp in July 2018 and worked as the Director of Toxicology and Drug Analysis and Associate Director of Clinical Chemistry at the University of Michigan Health System in Ann Arbor, MI (2015-2018). Dr Ketha is now the technical director of Toxicology, Clinical Mass Spectrometry and Metals Testing at the Labcorp Center for Esoteric Testing. She is a Fellow of the American Association of Clinical Chemistry. Dr Ketha’s research interests are in the clinical diagnostic applications of mass spectrometry. Fun fact: In addition to mass spectrometry and toxicology, Dr Ketha enjoys cooking, running and yoga.</w:t>
      </w:r>
    </w:p>
    <w:p w14:paraId="04DFE587" w14:textId="77777777" w:rsidR="005B129F" w:rsidRDefault="005B129F" w:rsidP="005B129F">
      <w:pPr>
        <w:spacing w:after="0" w:line="240" w:lineRule="auto"/>
        <w:contextualSpacing/>
        <w:rPr>
          <w:rFonts w:ascii="Calibri" w:hAnsi="Calibri" w:cs="Calibri"/>
        </w:rPr>
      </w:pPr>
      <w:r>
        <w:rPr>
          <w:rFonts w:ascii="Calibri" w:hAnsi="Calibri" w:cs="Calibri"/>
          <w:b/>
          <w:bCs/>
        </w:rPr>
        <w:t xml:space="preserve">     </w:t>
      </w:r>
      <w:r w:rsidRPr="008923B0">
        <w:rPr>
          <w:rFonts w:ascii="Calibri" w:hAnsi="Calibri" w:cs="Calibri"/>
          <w:b/>
          <w:bCs/>
        </w:rPr>
        <w:t>Taylor Ralph</w:t>
      </w:r>
      <w:r w:rsidRPr="00835B71">
        <w:rPr>
          <w:rFonts w:ascii="Calibri" w:hAnsi="Calibri" w:cs="Calibri"/>
        </w:rPr>
        <w:t xml:space="preserve"> earned his B.S. in Biochemistry from NC State in 2017. He is currently a Quality Assurance Specialist for AskBio, a gene therapy subsidiary of Bayer. He specializes in assay development and validation that enables phase 1, 2, and 3 studies. Fun fact: Taylor enjoys ice skating and reading science fiction. </w:t>
      </w:r>
    </w:p>
    <w:p w14:paraId="554D8AF3" w14:textId="77777777" w:rsidR="002114D5" w:rsidRPr="00B051AC"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2E9C7779" w14:textId="77777777" w:rsidR="002114D5" w:rsidRDefault="002114D5" w:rsidP="005B129F">
      <w:pPr>
        <w:spacing w:after="0" w:line="240" w:lineRule="auto"/>
        <w:contextualSpacing/>
        <w:rPr>
          <w:rFonts w:ascii="Calibri" w:hAnsi="Calibri" w:cs="Calibri"/>
        </w:rPr>
      </w:pPr>
    </w:p>
    <w:p w14:paraId="4B0C519F" w14:textId="77777777" w:rsidR="002114D5" w:rsidRDefault="002114D5" w:rsidP="005B129F">
      <w:pPr>
        <w:spacing w:after="0" w:line="240" w:lineRule="auto"/>
        <w:contextualSpacing/>
        <w:rPr>
          <w:rFonts w:ascii="Calibri" w:hAnsi="Calibri" w:cs="Calibri"/>
        </w:rPr>
      </w:pPr>
    </w:p>
    <w:p w14:paraId="0295457C" w14:textId="74AA330D" w:rsidR="005B129F" w:rsidRDefault="005B129F" w:rsidP="005B129F">
      <w:pPr>
        <w:spacing w:after="0" w:line="240" w:lineRule="auto"/>
        <w:contextualSpacing/>
        <w:jc w:val="center"/>
        <w:rPr>
          <w:rFonts w:ascii="Calibri" w:hAnsi="Calibri" w:cs="Calibri"/>
          <w:b/>
          <w:bCs/>
          <w:sz w:val="32"/>
          <w:szCs w:val="32"/>
        </w:rPr>
      </w:pPr>
      <w:bookmarkStart w:id="9" w:name="PosterPresentations"/>
      <w:r>
        <w:rPr>
          <w:rFonts w:ascii="Calibri" w:hAnsi="Calibri" w:cs="Calibri"/>
          <w:b/>
          <w:bCs/>
          <w:sz w:val="32"/>
          <w:szCs w:val="32"/>
        </w:rPr>
        <w:lastRenderedPageBreak/>
        <w:t>Poster Presentations (Lakeside 2</w:t>
      </w:r>
      <w:r w:rsidR="004D2B49">
        <w:rPr>
          <w:rFonts w:ascii="Calibri" w:hAnsi="Calibri" w:cs="Calibri"/>
          <w:b/>
          <w:bCs/>
          <w:sz w:val="32"/>
          <w:szCs w:val="32"/>
        </w:rPr>
        <w:t>12</w:t>
      </w:r>
      <w:r>
        <w:rPr>
          <w:rFonts w:ascii="Calibri" w:hAnsi="Calibri" w:cs="Calibri"/>
          <w:b/>
          <w:bCs/>
          <w:sz w:val="32"/>
          <w:szCs w:val="32"/>
        </w:rPr>
        <w:t>,</w:t>
      </w:r>
      <w:r w:rsidR="004D2B49">
        <w:rPr>
          <w:rFonts w:ascii="Calibri" w:hAnsi="Calibri" w:cs="Calibri"/>
          <w:b/>
          <w:bCs/>
          <w:sz w:val="32"/>
          <w:szCs w:val="32"/>
        </w:rPr>
        <w:t xml:space="preserve"> </w:t>
      </w:r>
      <w:r>
        <w:rPr>
          <w:rFonts w:ascii="Calibri" w:hAnsi="Calibri" w:cs="Calibri"/>
          <w:b/>
          <w:bCs/>
          <w:sz w:val="32"/>
          <w:szCs w:val="32"/>
        </w:rPr>
        <w:t>213, 214)</w:t>
      </w:r>
    </w:p>
    <w:bookmarkEnd w:id="9"/>
    <w:p w14:paraId="3BD413A8" w14:textId="77777777" w:rsidR="00D77FC6" w:rsidRPr="00D77FC6" w:rsidRDefault="00D77FC6" w:rsidP="005B129F">
      <w:pPr>
        <w:spacing w:after="0" w:line="240" w:lineRule="auto"/>
        <w:contextualSpacing/>
        <w:jc w:val="center"/>
        <w:rPr>
          <w:rFonts w:ascii="Calibri" w:hAnsi="Calibri" w:cs="Calibri"/>
          <w:b/>
          <w:bCs/>
          <w:sz w:val="12"/>
          <w:szCs w:val="12"/>
        </w:rPr>
      </w:pPr>
    </w:p>
    <w:tbl>
      <w:tblPr>
        <w:tblStyle w:val="TableGridLight"/>
        <w:tblW w:w="9350" w:type="dxa"/>
        <w:tblLayout w:type="fixed"/>
        <w:tblLook w:val="04A0" w:firstRow="1" w:lastRow="0" w:firstColumn="1" w:lastColumn="0" w:noHBand="0" w:noVBand="1"/>
      </w:tblPr>
      <w:tblGrid>
        <w:gridCol w:w="1615"/>
        <w:gridCol w:w="2770"/>
        <w:gridCol w:w="1577"/>
        <w:gridCol w:w="1628"/>
        <w:gridCol w:w="1760"/>
      </w:tblGrid>
      <w:tr w:rsidR="00817F8E" w:rsidRPr="00D03374" w14:paraId="553F45DF" w14:textId="77777777" w:rsidTr="00EE0810">
        <w:trPr>
          <w:trHeight w:val="425"/>
        </w:trPr>
        <w:tc>
          <w:tcPr>
            <w:tcW w:w="9350" w:type="dxa"/>
            <w:gridSpan w:val="5"/>
            <w:shd w:val="clear" w:color="auto" w:fill="A5C9EB" w:themeFill="text2" w:themeFillTint="40"/>
          </w:tcPr>
          <w:p w14:paraId="404C96BA" w14:textId="77777777" w:rsidR="00817F8E" w:rsidRPr="00340E15" w:rsidRDefault="00817F8E" w:rsidP="00EE0810">
            <w:pPr>
              <w:rPr>
                <w:rFonts w:ascii="Calibri" w:hAnsi="Calibri" w:cs="Calibri"/>
                <w:noProof/>
                <w:sz w:val="28"/>
                <w:szCs w:val="28"/>
              </w:rPr>
            </w:pPr>
            <w:r>
              <w:rPr>
                <w:rFonts w:ascii="Calibri" w:hAnsi="Calibri" w:cs="Calibri"/>
                <w:noProof/>
                <w:sz w:val="28"/>
                <w:szCs w:val="28"/>
              </w:rPr>
              <w:t>Poster Presentations—</w:t>
            </w:r>
            <w:r w:rsidRPr="0022217A">
              <w:rPr>
                <w:rFonts w:ascii="Calibri" w:hAnsi="Calibri" w:cs="Calibri"/>
                <w:noProof/>
                <w:sz w:val="28"/>
                <w:szCs w:val="28"/>
              </w:rPr>
              <w:t>Lakeside Rooms 212, 213, and 214</w:t>
            </w:r>
            <w:r>
              <w:rPr>
                <w:rFonts w:ascii="Calibri" w:hAnsi="Calibri" w:cs="Calibri"/>
                <w:noProof/>
                <w:sz w:val="28"/>
                <w:szCs w:val="28"/>
              </w:rPr>
              <w:t xml:space="preserve">, Friday, April 24   </w:t>
            </w:r>
          </w:p>
        </w:tc>
      </w:tr>
      <w:tr w:rsidR="00817F8E" w:rsidRPr="00D03374" w14:paraId="77CC6836" w14:textId="77777777" w:rsidTr="00EE0810">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77684FDA" w14:textId="347204EB" w:rsidR="00817F8E" w:rsidRPr="00340E15" w:rsidRDefault="00817F8E" w:rsidP="00EE0810">
            <w:pPr>
              <w:rPr>
                <w:rFonts w:ascii="Calibri" w:hAnsi="Calibri" w:cs="Calibri"/>
                <w:noProof/>
                <w:sz w:val="22"/>
                <w:szCs w:val="22"/>
              </w:rPr>
            </w:pPr>
            <w:bookmarkStart w:id="10" w:name="PosterPresentationBotZoo" w:colFirst="0" w:colLast="0"/>
            <w:r>
              <w:rPr>
                <w:rFonts w:ascii="Calibri" w:hAnsi="Calibri" w:cs="Calibri"/>
                <w:noProof/>
                <w:sz w:val="22"/>
                <w:szCs w:val="22"/>
              </w:rPr>
              <w:t>Se</w:t>
            </w:r>
            <w:r w:rsidR="002F5BD3">
              <w:rPr>
                <w:rFonts w:ascii="Calibri" w:hAnsi="Calibri" w:cs="Calibri"/>
                <w:noProof/>
                <w:sz w:val="22"/>
                <w:szCs w:val="22"/>
              </w:rPr>
              <w:t>ssion</w:t>
            </w:r>
            <w:r>
              <w:rPr>
                <w:rFonts w:ascii="Calibri" w:hAnsi="Calibri" w:cs="Calibri"/>
                <w:noProof/>
                <w:sz w:val="22"/>
                <w:szCs w:val="22"/>
              </w:rPr>
              <w:t xml:space="preserve"> 1 (6:00-6:45 PM)--Section:  </w:t>
            </w:r>
            <w:r w:rsidRPr="00D219C5">
              <w:rPr>
                <w:rFonts w:ascii="Calibri" w:hAnsi="Calibri" w:cs="Calibri"/>
                <w:noProof/>
                <w:sz w:val="22"/>
                <w:szCs w:val="22"/>
              </w:rPr>
              <w:t>Botany, Zoology,</w:t>
            </w:r>
            <w:r w:rsidR="00B25CFE">
              <w:rPr>
                <w:rFonts w:ascii="Calibri" w:hAnsi="Calibri" w:cs="Calibri"/>
                <w:noProof/>
                <w:sz w:val="22"/>
                <w:szCs w:val="22"/>
              </w:rPr>
              <w:t xml:space="preserve"> </w:t>
            </w:r>
            <w:r w:rsidRPr="00D219C5">
              <w:rPr>
                <w:rFonts w:ascii="Calibri" w:hAnsi="Calibri" w:cs="Calibri"/>
                <w:noProof/>
                <w:sz w:val="22"/>
                <w:szCs w:val="22"/>
              </w:rPr>
              <w:t>Ecology, &amp; Environmental Science</w:t>
            </w:r>
            <w:r>
              <w:rPr>
                <w:rFonts w:ascii="Calibri" w:hAnsi="Calibri" w:cs="Calibri"/>
                <w:noProof/>
                <w:sz w:val="22"/>
                <w:szCs w:val="22"/>
              </w:rPr>
              <w:t xml:space="preserve">  </w:t>
            </w:r>
          </w:p>
        </w:tc>
      </w:tr>
      <w:bookmarkEnd w:id="10"/>
      <w:tr w:rsidR="00817F8E" w:rsidRPr="00D03374" w14:paraId="52985137" w14:textId="77777777" w:rsidTr="00EE0810">
        <w:trPr>
          <w:trHeight w:hRule="exact" w:val="288"/>
        </w:trPr>
        <w:tc>
          <w:tcPr>
            <w:tcW w:w="1615" w:type="dxa"/>
            <w:shd w:val="clear" w:color="auto" w:fill="D9F2D0" w:themeFill="accent6" w:themeFillTint="33"/>
          </w:tcPr>
          <w:p w14:paraId="77C6CFEE" w14:textId="77777777" w:rsidR="00817F8E" w:rsidRDefault="00817F8E" w:rsidP="00EE0810">
            <w:pPr>
              <w:rPr>
                <w:rFonts w:ascii="Calibri" w:hAnsi="Calibri" w:cs="Calibri"/>
                <w:noProof/>
                <w:sz w:val="18"/>
                <w:szCs w:val="18"/>
              </w:rPr>
            </w:pPr>
            <w:r>
              <w:rPr>
                <w:rFonts w:ascii="Calibri" w:hAnsi="Calibri" w:cs="Calibri"/>
                <w:noProof/>
                <w:sz w:val="18"/>
                <w:szCs w:val="18"/>
              </w:rPr>
              <w:t>Poster/Abstract #</w:t>
            </w:r>
          </w:p>
          <w:p w14:paraId="2123E875" w14:textId="77777777" w:rsidR="00817F8E" w:rsidRDefault="00817F8E" w:rsidP="00EE0810">
            <w:pPr>
              <w:rPr>
                <w:rFonts w:ascii="Calibri" w:hAnsi="Calibri" w:cs="Calibri"/>
                <w:noProof/>
                <w:sz w:val="18"/>
                <w:szCs w:val="18"/>
              </w:rPr>
            </w:pPr>
          </w:p>
        </w:tc>
        <w:tc>
          <w:tcPr>
            <w:tcW w:w="2770" w:type="dxa"/>
            <w:shd w:val="clear" w:color="auto" w:fill="D9F2D0" w:themeFill="accent6" w:themeFillTint="33"/>
          </w:tcPr>
          <w:p w14:paraId="799981E1" w14:textId="77777777" w:rsidR="00817F8E" w:rsidRPr="00D03374" w:rsidRDefault="00817F8E" w:rsidP="00EE0810">
            <w:pPr>
              <w:rPr>
                <w:rFonts w:ascii="Calibri" w:hAnsi="Calibri" w:cs="Calibri"/>
                <w:noProof/>
                <w:sz w:val="18"/>
                <w:szCs w:val="18"/>
              </w:rPr>
            </w:pPr>
            <w:r>
              <w:rPr>
                <w:rFonts w:ascii="Calibri" w:hAnsi="Calibri" w:cs="Calibri"/>
                <w:noProof/>
                <w:sz w:val="18"/>
                <w:szCs w:val="18"/>
              </w:rPr>
              <w:t>Title</w:t>
            </w:r>
          </w:p>
        </w:tc>
        <w:tc>
          <w:tcPr>
            <w:tcW w:w="1577" w:type="dxa"/>
            <w:shd w:val="clear" w:color="auto" w:fill="D9F2D0" w:themeFill="accent6" w:themeFillTint="33"/>
          </w:tcPr>
          <w:p w14:paraId="1118897B" w14:textId="77777777" w:rsidR="00817F8E" w:rsidRDefault="00817F8E" w:rsidP="00EE0810">
            <w:pPr>
              <w:rPr>
                <w:rFonts w:ascii="Calibri" w:hAnsi="Calibri" w:cs="Calibri"/>
                <w:noProof/>
                <w:sz w:val="18"/>
                <w:szCs w:val="18"/>
              </w:rPr>
            </w:pPr>
            <w:r>
              <w:rPr>
                <w:rFonts w:ascii="Calibri" w:hAnsi="Calibri" w:cs="Calibri"/>
                <w:noProof/>
                <w:sz w:val="18"/>
                <w:szCs w:val="18"/>
              </w:rPr>
              <w:t>Authors</w:t>
            </w:r>
          </w:p>
        </w:tc>
        <w:tc>
          <w:tcPr>
            <w:tcW w:w="1628" w:type="dxa"/>
            <w:shd w:val="clear" w:color="auto" w:fill="D9F2D0" w:themeFill="accent6" w:themeFillTint="33"/>
          </w:tcPr>
          <w:p w14:paraId="755EE728" w14:textId="77777777" w:rsidR="00817F8E" w:rsidRDefault="00817F8E" w:rsidP="00EE0810">
            <w:pPr>
              <w:rPr>
                <w:rFonts w:ascii="Calibri" w:hAnsi="Calibri" w:cs="Calibri"/>
                <w:noProof/>
                <w:sz w:val="18"/>
                <w:szCs w:val="18"/>
              </w:rPr>
            </w:pPr>
            <w:r>
              <w:rPr>
                <w:rFonts w:ascii="Calibri" w:hAnsi="Calibri" w:cs="Calibri"/>
                <w:noProof/>
                <w:sz w:val="18"/>
                <w:szCs w:val="18"/>
              </w:rPr>
              <w:t>University</w:t>
            </w:r>
          </w:p>
        </w:tc>
        <w:tc>
          <w:tcPr>
            <w:tcW w:w="1760" w:type="dxa"/>
            <w:shd w:val="clear" w:color="auto" w:fill="D9F2D0" w:themeFill="accent6" w:themeFillTint="33"/>
          </w:tcPr>
          <w:p w14:paraId="54D6E191" w14:textId="77777777" w:rsidR="00817F8E" w:rsidRDefault="00817F8E" w:rsidP="00EE0810">
            <w:pPr>
              <w:rPr>
                <w:rFonts w:ascii="Calibri" w:hAnsi="Calibri" w:cs="Calibri"/>
                <w:noProof/>
                <w:sz w:val="18"/>
                <w:szCs w:val="18"/>
              </w:rPr>
            </w:pPr>
            <w:r>
              <w:rPr>
                <w:rFonts w:ascii="Calibri" w:hAnsi="Calibri" w:cs="Calibri"/>
                <w:noProof/>
                <w:sz w:val="18"/>
                <w:szCs w:val="18"/>
              </w:rPr>
              <w:t>Time/Derieux?</w:t>
            </w:r>
          </w:p>
        </w:tc>
      </w:tr>
      <w:tr w:rsidR="00817F8E" w:rsidRPr="00D03374" w14:paraId="1C2F3D85" w14:textId="77777777" w:rsidTr="00EE0810">
        <w:trPr>
          <w:trHeight w:val="425"/>
        </w:trPr>
        <w:tc>
          <w:tcPr>
            <w:tcW w:w="1615" w:type="dxa"/>
            <w:vMerge w:val="restart"/>
          </w:tcPr>
          <w:p w14:paraId="38708725"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w:t>
            </w:r>
          </w:p>
        </w:tc>
        <w:tc>
          <w:tcPr>
            <w:tcW w:w="2770" w:type="dxa"/>
            <w:vMerge w:val="restart"/>
          </w:tcPr>
          <w:p w14:paraId="4FFD59F3"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Multidecadal analyses of cyanobacteria populations in the lower Pamlico River</w:t>
            </w:r>
          </w:p>
        </w:tc>
        <w:tc>
          <w:tcPr>
            <w:tcW w:w="1577" w:type="dxa"/>
            <w:vMerge w:val="restart"/>
          </w:tcPr>
          <w:p w14:paraId="4570B25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Plaza Gasalla, Lucia, Brant Touchette, Blake Hament</w:t>
            </w:r>
          </w:p>
        </w:tc>
        <w:tc>
          <w:tcPr>
            <w:tcW w:w="1628" w:type="dxa"/>
            <w:vMerge w:val="restart"/>
          </w:tcPr>
          <w:p w14:paraId="0F7799F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7A5B5094"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068B5786" w14:textId="77777777" w:rsidTr="00EE0810">
        <w:trPr>
          <w:trHeight w:val="424"/>
        </w:trPr>
        <w:tc>
          <w:tcPr>
            <w:tcW w:w="1615" w:type="dxa"/>
            <w:vMerge/>
          </w:tcPr>
          <w:p w14:paraId="5B57E59D" w14:textId="77777777" w:rsidR="00817F8E" w:rsidRPr="00D03374" w:rsidRDefault="00817F8E" w:rsidP="00EE0810">
            <w:pPr>
              <w:rPr>
                <w:rFonts w:ascii="Calibri" w:hAnsi="Calibri" w:cs="Calibri"/>
                <w:sz w:val="18"/>
                <w:szCs w:val="18"/>
              </w:rPr>
            </w:pPr>
          </w:p>
        </w:tc>
        <w:tc>
          <w:tcPr>
            <w:tcW w:w="2770" w:type="dxa"/>
            <w:vMerge/>
          </w:tcPr>
          <w:p w14:paraId="5610B11E" w14:textId="77777777" w:rsidR="00817F8E" w:rsidRPr="00D03374" w:rsidRDefault="00817F8E" w:rsidP="00EE0810">
            <w:pPr>
              <w:rPr>
                <w:rFonts w:ascii="Calibri" w:hAnsi="Calibri" w:cs="Calibri"/>
                <w:sz w:val="18"/>
                <w:szCs w:val="18"/>
              </w:rPr>
            </w:pPr>
          </w:p>
        </w:tc>
        <w:tc>
          <w:tcPr>
            <w:tcW w:w="1577" w:type="dxa"/>
            <w:vMerge/>
          </w:tcPr>
          <w:p w14:paraId="5967BA1E" w14:textId="77777777" w:rsidR="00817F8E" w:rsidRPr="00D03374" w:rsidRDefault="00817F8E" w:rsidP="00EE0810">
            <w:pPr>
              <w:rPr>
                <w:rFonts w:ascii="Calibri" w:hAnsi="Calibri" w:cs="Calibri"/>
                <w:sz w:val="18"/>
                <w:szCs w:val="18"/>
              </w:rPr>
            </w:pPr>
          </w:p>
        </w:tc>
        <w:tc>
          <w:tcPr>
            <w:tcW w:w="1628" w:type="dxa"/>
            <w:vMerge/>
          </w:tcPr>
          <w:p w14:paraId="7B5BF227" w14:textId="77777777" w:rsidR="00817F8E" w:rsidRPr="00D03374" w:rsidRDefault="00817F8E" w:rsidP="00EE0810">
            <w:pPr>
              <w:rPr>
                <w:rFonts w:ascii="Calibri" w:hAnsi="Calibri" w:cs="Calibri"/>
                <w:sz w:val="18"/>
                <w:szCs w:val="18"/>
              </w:rPr>
            </w:pPr>
          </w:p>
        </w:tc>
        <w:tc>
          <w:tcPr>
            <w:tcW w:w="1760" w:type="dxa"/>
          </w:tcPr>
          <w:p w14:paraId="1165B988"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w:t>
            </w:r>
          </w:p>
        </w:tc>
      </w:tr>
      <w:tr w:rsidR="00817F8E" w:rsidRPr="00D03374" w14:paraId="769F7B6D" w14:textId="77777777" w:rsidTr="00EE0810">
        <w:trPr>
          <w:trHeight w:val="425"/>
        </w:trPr>
        <w:tc>
          <w:tcPr>
            <w:tcW w:w="1615" w:type="dxa"/>
            <w:vMerge w:val="restart"/>
          </w:tcPr>
          <w:p w14:paraId="2AA95D3D"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P-2</w:t>
            </w:r>
          </w:p>
        </w:tc>
        <w:tc>
          <w:tcPr>
            <w:tcW w:w="2770" w:type="dxa"/>
            <w:vMerge w:val="restart"/>
          </w:tcPr>
          <w:p w14:paraId="3E6AB16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Isolation and characterization of Pseudomonas aeruginosa from municipal wastewater treatment systems</w:t>
            </w:r>
          </w:p>
        </w:tc>
        <w:tc>
          <w:tcPr>
            <w:tcW w:w="1577" w:type="dxa"/>
            <w:vMerge w:val="restart"/>
          </w:tcPr>
          <w:p w14:paraId="1E2541E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Alford A. Ajah*, Shaliah Joyner, Mabel K. Aworh</w:t>
            </w:r>
          </w:p>
        </w:tc>
        <w:tc>
          <w:tcPr>
            <w:tcW w:w="1628" w:type="dxa"/>
            <w:vMerge w:val="restart"/>
          </w:tcPr>
          <w:p w14:paraId="165EAB5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Department of Biological and Forensic Sciences, Fayetteville State University, Fayetteville, NC, USA</w:t>
            </w:r>
          </w:p>
        </w:tc>
        <w:tc>
          <w:tcPr>
            <w:tcW w:w="1760" w:type="dxa"/>
          </w:tcPr>
          <w:p w14:paraId="48E0E434"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49612A75" w14:textId="77777777" w:rsidTr="00EE0810">
        <w:trPr>
          <w:trHeight w:val="424"/>
        </w:trPr>
        <w:tc>
          <w:tcPr>
            <w:tcW w:w="1615" w:type="dxa"/>
            <w:vMerge/>
          </w:tcPr>
          <w:p w14:paraId="5F4EEAF3" w14:textId="77777777" w:rsidR="00817F8E" w:rsidRPr="00D03374" w:rsidRDefault="00817F8E" w:rsidP="00EE0810">
            <w:pPr>
              <w:rPr>
                <w:rFonts w:ascii="Calibri" w:hAnsi="Calibri" w:cs="Calibri"/>
                <w:sz w:val="18"/>
                <w:szCs w:val="18"/>
              </w:rPr>
            </w:pPr>
          </w:p>
        </w:tc>
        <w:tc>
          <w:tcPr>
            <w:tcW w:w="2770" w:type="dxa"/>
            <w:vMerge/>
          </w:tcPr>
          <w:p w14:paraId="71984AE9" w14:textId="77777777" w:rsidR="00817F8E" w:rsidRPr="00D03374" w:rsidRDefault="00817F8E" w:rsidP="00EE0810">
            <w:pPr>
              <w:rPr>
                <w:rFonts w:ascii="Calibri" w:hAnsi="Calibri" w:cs="Calibri"/>
                <w:sz w:val="18"/>
                <w:szCs w:val="18"/>
              </w:rPr>
            </w:pPr>
          </w:p>
        </w:tc>
        <w:tc>
          <w:tcPr>
            <w:tcW w:w="1577" w:type="dxa"/>
            <w:vMerge/>
          </w:tcPr>
          <w:p w14:paraId="7A7EB64A" w14:textId="77777777" w:rsidR="00817F8E" w:rsidRPr="00D03374" w:rsidRDefault="00817F8E" w:rsidP="00EE0810">
            <w:pPr>
              <w:rPr>
                <w:rFonts w:ascii="Calibri" w:hAnsi="Calibri" w:cs="Calibri"/>
                <w:sz w:val="18"/>
                <w:szCs w:val="18"/>
              </w:rPr>
            </w:pPr>
          </w:p>
        </w:tc>
        <w:tc>
          <w:tcPr>
            <w:tcW w:w="1628" w:type="dxa"/>
            <w:vMerge/>
          </w:tcPr>
          <w:p w14:paraId="6A243994" w14:textId="77777777" w:rsidR="00817F8E" w:rsidRPr="00D03374" w:rsidRDefault="00817F8E" w:rsidP="00EE0810">
            <w:pPr>
              <w:rPr>
                <w:rFonts w:ascii="Calibri" w:hAnsi="Calibri" w:cs="Calibri"/>
                <w:sz w:val="18"/>
                <w:szCs w:val="18"/>
              </w:rPr>
            </w:pPr>
          </w:p>
        </w:tc>
        <w:tc>
          <w:tcPr>
            <w:tcW w:w="1760" w:type="dxa"/>
          </w:tcPr>
          <w:p w14:paraId="0AC1D6F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5B16400D" w14:textId="77777777" w:rsidTr="00EE0810">
        <w:trPr>
          <w:trHeight w:val="425"/>
        </w:trPr>
        <w:tc>
          <w:tcPr>
            <w:tcW w:w="1615" w:type="dxa"/>
            <w:vMerge w:val="restart"/>
          </w:tcPr>
          <w:p w14:paraId="2FA6AB16"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P-3</w:t>
            </w:r>
          </w:p>
        </w:tc>
        <w:tc>
          <w:tcPr>
            <w:tcW w:w="2770" w:type="dxa"/>
            <w:vMerge w:val="restart"/>
          </w:tcPr>
          <w:p w14:paraId="27FE4A01"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Is severe weather intensifying with regional warming? A statistical and root</w:t>
            </w:r>
            <w:r w:rsidRPr="00F6547B">
              <w:rPr>
                <w:rFonts w:ascii="Cambria Math" w:hAnsi="Cambria Math" w:cs="Cambria Math"/>
                <w:noProof/>
                <w:sz w:val="18"/>
                <w:szCs w:val="18"/>
              </w:rPr>
              <w:t>‑</w:t>
            </w:r>
            <w:r w:rsidRPr="00F6547B">
              <w:rPr>
                <w:rFonts w:ascii="Calibri" w:hAnsi="Calibri" w:cs="Calibri"/>
                <w:noProof/>
                <w:sz w:val="18"/>
                <w:szCs w:val="18"/>
              </w:rPr>
              <w:t>cause analysis of temperature and tornado trends in the Southeast and Tornado Alley</w:t>
            </w:r>
          </w:p>
        </w:tc>
        <w:tc>
          <w:tcPr>
            <w:tcW w:w="1577" w:type="dxa"/>
            <w:vMerge w:val="restart"/>
          </w:tcPr>
          <w:p w14:paraId="6169C820"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Ashley Harper</w:t>
            </w:r>
          </w:p>
        </w:tc>
        <w:tc>
          <w:tcPr>
            <w:tcW w:w="1628" w:type="dxa"/>
            <w:vMerge w:val="restart"/>
          </w:tcPr>
          <w:p w14:paraId="322F6392"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Campbell University</w:t>
            </w:r>
          </w:p>
        </w:tc>
        <w:tc>
          <w:tcPr>
            <w:tcW w:w="1760" w:type="dxa"/>
          </w:tcPr>
          <w:p w14:paraId="5F0B99C0"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582B5307" w14:textId="77777777" w:rsidTr="00EE0810">
        <w:trPr>
          <w:trHeight w:val="424"/>
        </w:trPr>
        <w:tc>
          <w:tcPr>
            <w:tcW w:w="1615" w:type="dxa"/>
            <w:vMerge/>
          </w:tcPr>
          <w:p w14:paraId="7FA422BD" w14:textId="77777777" w:rsidR="00817F8E" w:rsidRPr="00D03374" w:rsidRDefault="00817F8E" w:rsidP="00EE0810">
            <w:pPr>
              <w:rPr>
                <w:rFonts w:ascii="Calibri" w:hAnsi="Calibri" w:cs="Calibri"/>
                <w:sz w:val="18"/>
                <w:szCs w:val="18"/>
              </w:rPr>
            </w:pPr>
          </w:p>
        </w:tc>
        <w:tc>
          <w:tcPr>
            <w:tcW w:w="2770" w:type="dxa"/>
            <w:vMerge/>
          </w:tcPr>
          <w:p w14:paraId="56D59BB4" w14:textId="77777777" w:rsidR="00817F8E" w:rsidRPr="00D03374" w:rsidRDefault="00817F8E" w:rsidP="00EE0810">
            <w:pPr>
              <w:rPr>
                <w:rFonts w:ascii="Calibri" w:hAnsi="Calibri" w:cs="Calibri"/>
                <w:sz w:val="18"/>
                <w:szCs w:val="18"/>
              </w:rPr>
            </w:pPr>
          </w:p>
        </w:tc>
        <w:tc>
          <w:tcPr>
            <w:tcW w:w="1577" w:type="dxa"/>
            <w:vMerge/>
          </w:tcPr>
          <w:p w14:paraId="5BC329B9" w14:textId="77777777" w:rsidR="00817F8E" w:rsidRPr="00D03374" w:rsidRDefault="00817F8E" w:rsidP="00EE0810">
            <w:pPr>
              <w:rPr>
                <w:rFonts w:ascii="Calibri" w:hAnsi="Calibri" w:cs="Calibri"/>
                <w:sz w:val="18"/>
                <w:szCs w:val="18"/>
              </w:rPr>
            </w:pPr>
          </w:p>
        </w:tc>
        <w:tc>
          <w:tcPr>
            <w:tcW w:w="1628" w:type="dxa"/>
            <w:vMerge/>
          </w:tcPr>
          <w:p w14:paraId="6924762C" w14:textId="77777777" w:rsidR="00817F8E" w:rsidRPr="00D03374" w:rsidRDefault="00817F8E" w:rsidP="00EE0810">
            <w:pPr>
              <w:rPr>
                <w:rFonts w:ascii="Calibri" w:hAnsi="Calibri" w:cs="Calibri"/>
                <w:sz w:val="18"/>
                <w:szCs w:val="18"/>
              </w:rPr>
            </w:pPr>
          </w:p>
        </w:tc>
        <w:tc>
          <w:tcPr>
            <w:tcW w:w="1760" w:type="dxa"/>
          </w:tcPr>
          <w:p w14:paraId="36D65944"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w:t>
            </w:r>
          </w:p>
        </w:tc>
      </w:tr>
      <w:tr w:rsidR="00817F8E" w:rsidRPr="00D03374" w14:paraId="225DF31A" w14:textId="77777777" w:rsidTr="00EE0810">
        <w:trPr>
          <w:trHeight w:val="425"/>
        </w:trPr>
        <w:tc>
          <w:tcPr>
            <w:tcW w:w="1615" w:type="dxa"/>
            <w:vMerge w:val="restart"/>
          </w:tcPr>
          <w:p w14:paraId="111D1EC5"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P-4</w:t>
            </w:r>
          </w:p>
        </w:tc>
        <w:tc>
          <w:tcPr>
            <w:tcW w:w="2770" w:type="dxa"/>
            <w:vMerge w:val="restart"/>
          </w:tcPr>
          <w:p w14:paraId="25321C46"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Understanding the diets of invasive asian needle ants and their impact on longleaf pine savannas</w:t>
            </w:r>
          </w:p>
        </w:tc>
        <w:tc>
          <w:tcPr>
            <w:tcW w:w="1577" w:type="dxa"/>
            <w:vMerge w:val="restart"/>
          </w:tcPr>
          <w:p w14:paraId="0E735F75"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Capino, Arabella*, Kaitlin Campbell, Lisa Kelly</w:t>
            </w:r>
          </w:p>
        </w:tc>
        <w:tc>
          <w:tcPr>
            <w:tcW w:w="1628" w:type="dxa"/>
            <w:vMerge w:val="restart"/>
          </w:tcPr>
          <w:p w14:paraId="7B21BD8D"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University of North Carolina at Pembroke</w:t>
            </w:r>
          </w:p>
        </w:tc>
        <w:tc>
          <w:tcPr>
            <w:tcW w:w="1760" w:type="dxa"/>
          </w:tcPr>
          <w:p w14:paraId="5871D750"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4DDA5A46" w14:textId="77777777" w:rsidTr="00EE0810">
        <w:trPr>
          <w:trHeight w:val="424"/>
        </w:trPr>
        <w:tc>
          <w:tcPr>
            <w:tcW w:w="1615" w:type="dxa"/>
            <w:vMerge/>
          </w:tcPr>
          <w:p w14:paraId="0943FA86" w14:textId="77777777" w:rsidR="00817F8E" w:rsidRPr="00D03374" w:rsidRDefault="00817F8E" w:rsidP="00EE0810">
            <w:pPr>
              <w:rPr>
                <w:rFonts w:ascii="Calibri" w:hAnsi="Calibri" w:cs="Calibri"/>
                <w:sz w:val="18"/>
                <w:szCs w:val="18"/>
              </w:rPr>
            </w:pPr>
          </w:p>
        </w:tc>
        <w:tc>
          <w:tcPr>
            <w:tcW w:w="2770" w:type="dxa"/>
            <w:vMerge/>
          </w:tcPr>
          <w:p w14:paraId="0FEEA480" w14:textId="77777777" w:rsidR="00817F8E" w:rsidRPr="00D03374" w:rsidRDefault="00817F8E" w:rsidP="00EE0810">
            <w:pPr>
              <w:rPr>
                <w:rFonts w:ascii="Calibri" w:hAnsi="Calibri" w:cs="Calibri"/>
                <w:sz w:val="18"/>
                <w:szCs w:val="18"/>
              </w:rPr>
            </w:pPr>
          </w:p>
        </w:tc>
        <w:tc>
          <w:tcPr>
            <w:tcW w:w="1577" w:type="dxa"/>
            <w:vMerge/>
          </w:tcPr>
          <w:p w14:paraId="5129705B" w14:textId="77777777" w:rsidR="00817F8E" w:rsidRPr="00D03374" w:rsidRDefault="00817F8E" w:rsidP="00EE0810">
            <w:pPr>
              <w:rPr>
                <w:rFonts w:ascii="Calibri" w:hAnsi="Calibri" w:cs="Calibri"/>
                <w:sz w:val="18"/>
                <w:szCs w:val="18"/>
              </w:rPr>
            </w:pPr>
          </w:p>
        </w:tc>
        <w:tc>
          <w:tcPr>
            <w:tcW w:w="1628" w:type="dxa"/>
            <w:vMerge/>
          </w:tcPr>
          <w:p w14:paraId="3DC83331" w14:textId="77777777" w:rsidR="00817F8E" w:rsidRPr="00D03374" w:rsidRDefault="00817F8E" w:rsidP="00EE0810">
            <w:pPr>
              <w:rPr>
                <w:rFonts w:ascii="Calibri" w:hAnsi="Calibri" w:cs="Calibri"/>
                <w:sz w:val="18"/>
                <w:szCs w:val="18"/>
              </w:rPr>
            </w:pPr>
          </w:p>
        </w:tc>
        <w:tc>
          <w:tcPr>
            <w:tcW w:w="1760" w:type="dxa"/>
          </w:tcPr>
          <w:p w14:paraId="4460BA5D"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23427818" w14:textId="77777777" w:rsidTr="00EE0810">
        <w:trPr>
          <w:trHeight w:val="425"/>
        </w:trPr>
        <w:tc>
          <w:tcPr>
            <w:tcW w:w="1615" w:type="dxa"/>
            <w:vMerge w:val="restart"/>
          </w:tcPr>
          <w:p w14:paraId="4CC61D20"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P-5</w:t>
            </w:r>
          </w:p>
        </w:tc>
        <w:tc>
          <w:tcPr>
            <w:tcW w:w="2770" w:type="dxa"/>
            <w:vMerge w:val="restart"/>
          </w:tcPr>
          <w:p w14:paraId="67582B7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Salinity-induced photoprotection in Juncus roemerianus during drought recovery</w:t>
            </w:r>
          </w:p>
        </w:tc>
        <w:tc>
          <w:tcPr>
            <w:tcW w:w="1577" w:type="dxa"/>
            <w:vMerge w:val="restart"/>
          </w:tcPr>
          <w:p w14:paraId="3C886213"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Cashen, Emily*, Livia Lampal, Spencer Plut, Brant Touchette</w:t>
            </w:r>
          </w:p>
        </w:tc>
        <w:tc>
          <w:tcPr>
            <w:tcW w:w="1628" w:type="dxa"/>
            <w:vMerge w:val="restart"/>
          </w:tcPr>
          <w:p w14:paraId="572757A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1B5B93D1"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7B8B6665" w14:textId="77777777" w:rsidTr="00EE0810">
        <w:trPr>
          <w:trHeight w:val="424"/>
        </w:trPr>
        <w:tc>
          <w:tcPr>
            <w:tcW w:w="1615" w:type="dxa"/>
            <w:vMerge/>
          </w:tcPr>
          <w:p w14:paraId="4805E8EA" w14:textId="77777777" w:rsidR="00817F8E" w:rsidRPr="00D03374" w:rsidRDefault="00817F8E" w:rsidP="00EE0810">
            <w:pPr>
              <w:rPr>
                <w:rFonts w:ascii="Calibri" w:hAnsi="Calibri" w:cs="Calibri"/>
                <w:sz w:val="18"/>
                <w:szCs w:val="18"/>
              </w:rPr>
            </w:pPr>
          </w:p>
        </w:tc>
        <w:tc>
          <w:tcPr>
            <w:tcW w:w="2770" w:type="dxa"/>
            <w:vMerge/>
          </w:tcPr>
          <w:p w14:paraId="25C53BB1" w14:textId="77777777" w:rsidR="00817F8E" w:rsidRPr="00D03374" w:rsidRDefault="00817F8E" w:rsidP="00EE0810">
            <w:pPr>
              <w:rPr>
                <w:rFonts w:ascii="Calibri" w:hAnsi="Calibri" w:cs="Calibri"/>
                <w:sz w:val="18"/>
                <w:szCs w:val="18"/>
              </w:rPr>
            </w:pPr>
          </w:p>
        </w:tc>
        <w:tc>
          <w:tcPr>
            <w:tcW w:w="1577" w:type="dxa"/>
            <w:vMerge/>
          </w:tcPr>
          <w:p w14:paraId="1A8FB13F" w14:textId="77777777" w:rsidR="00817F8E" w:rsidRPr="00D03374" w:rsidRDefault="00817F8E" w:rsidP="00EE0810">
            <w:pPr>
              <w:rPr>
                <w:rFonts w:ascii="Calibri" w:hAnsi="Calibri" w:cs="Calibri"/>
                <w:sz w:val="18"/>
                <w:szCs w:val="18"/>
              </w:rPr>
            </w:pPr>
          </w:p>
        </w:tc>
        <w:tc>
          <w:tcPr>
            <w:tcW w:w="1628" w:type="dxa"/>
            <w:vMerge/>
          </w:tcPr>
          <w:p w14:paraId="158F7D5B" w14:textId="77777777" w:rsidR="00817F8E" w:rsidRPr="00D03374" w:rsidRDefault="00817F8E" w:rsidP="00EE0810">
            <w:pPr>
              <w:rPr>
                <w:rFonts w:ascii="Calibri" w:hAnsi="Calibri" w:cs="Calibri"/>
                <w:sz w:val="18"/>
                <w:szCs w:val="18"/>
              </w:rPr>
            </w:pPr>
          </w:p>
        </w:tc>
        <w:tc>
          <w:tcPr>
            <w:tcW w:w="1760" w:type="dxa"/>
          </w:tcPr>
          <w:p w14:paraId="3CC8B9C4"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6B4C2790" w14:textId="77777777" w:rsidTr="00EE0810">
        <w:trPr>
          <w:trHeight w:val="425"/>
        </w:trPr>
        <w:tc>
          <w:tcPr>
            <w:tcW w:w="1615" w:type="dxa"/>
            <w:vMerge w:val="restart"/>
          </w:tcPr>
          <w:p w14:paraId="2DE43ADC"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P-6</w:t>
            </w:r>
          </w:p>
        </w:tc>
        <w:tc>
          <w:tcPr>
            <w:tcW w:w="2770" w:type="dxa"/>
            <w:vMerge w:val="restart"/>
          </w:tcPr>
          <w:p w14:paraId="27B2E1AA"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Evaluating the impacts of invasive ants and environmental disturbances in longleaf pine savannas</w:t>
            </w:r>
          </w:p>
        </w:tc>
        <w:tc>
          <w:tcPr>
            <w:tcW w:w="1577" w:type="dxa"/>
            <w:vMerge w:val="restart"/>
          </w:tcPr>
          <w:p w14:paraId="14880523"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Hartman, Aaron*, Lisa Kelly, Kaitlin U. Campbell</w:t>
            </w:r>
          </w:p>
        </w:tc>
        <w:tc>
          <w:tcPr>
            <w:tcW w:w="1628" w:type="dxa"/>
            <w:vMerge w:val="restart"/>
          </w:tcPr>
          <w:p w14:paraId="4139C30A"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University of North Carolina at Pembroke</w:t>
            </w:r>
          </w:p>
        </w:tc>
        <w:tc>
          <w:tcPr>
            <w:tcW w:w="1760" w:type="dxa"/>
          </w:tcPr>
          <w:p w14:paraId="5FFC40BB"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57A0C162" w14:textId="77777777" w:rsidTr="00EE0810">
        <w:trPr>
          <w:trHeight w:val="424"/>
        </w:trPr>
        <w:tc>
          <w:tcPr>
            <w:tcW w:w="1615" w:type="dxa"/>
            <w:vMerge/>
          </w:tcPr>
          <w:p w14:paraId="6396B326" w14:textId="77777777" w:rsidR="00817F8E" w:rsidRPr="00D03374" w:rsidRDefault="00817F8E" w:rsidP="00EE0810">
            <w:pPr>
              <w:rPr>
                <w:rFonts w:ascii="Calibri" w:hAnsi="Calibri" w:cs="Calibri"/>
                <w:sz w:val="18"/>
                <w:szCs w:val="18"/>
              </w:rPr>
            </w:pPr>
          </w:p>
        </w:tc>
        <w:tc>
          <w:tcPr>
            <w:tcW w:w="2770" w:type="dxa"/>
            <w:vMerge/>
          </w:tcPr>
          <w:p w14:paraId="2763B21E" w14:textId="77777777" w:rsidR="00817F8E" w:rsidRPr="00D03374" w:rsidRDefault="00817F8E" w:rsidP="00EE0810">
            <w:pPr>
              <w:rPr>
                <w:rFonts w:ascii="Calibri" w:hAnsi="Calibri" w:cs="Calibri"/>
                <w:sz w:val="18"/>
                <w:szCs w:val="18"/>
              </w:rPr>
            </w:pPr>
          </w:p>
        </w:tc>
        <w:tc>
          <w:tcPr>
            <w:tcW w:w="1577" w:type="dxa"/>
            <w:vMerge/>
          </w:tcPr>
          <w:p w14:paraId="36B4DF4C" w14:textId="77777777" w:rsidR="00817F8E" w:rsidRPr="00D03374" w:rsidRDefault="00817F8E" w:rsidP="00EE0810">
            <w:pPr>
              <w:rPr>
                <w:rFonts w:ascii="Calibri" w:hAnsi="Calibri" w:cs="Calibri"/>
                <w:sz w:val="18"/>
                <w:szCs w:val="18"/>
              </w:rPr>
            </w:pPr>
          </w:p>
        </w:tc>
        <w:tc>
          <w:tcPr>
            <w:tcW w:w="1628" w:type="dxa"/>
            <w:vMerge/>
          </w:tcPr>
          <w:p w14:paraId="53E73B81" w14:textId="77777777" w:rsidR="00817F8E" w:rsidRPr="00D03374" w:rsidRDefault="00817F8E" w:rsidP="00EE0810">
            <w:pPr>
              <w:rPr>
                <w:rFonts w:ascii="Calibri" w:hAnsi="Calibri" w:cs="Calibri"/>
                <w:sz w:val="18"/>
                <w:szCs w:val="18"/>
              </w:rPr>
            </w:pPr>
          </w:p>
        </w:tc>
        <w:tc>
          <w:tcPr>
            <w:tcW w:w="1760" w:type="dxa"/>
          </w:tcPr>
          <w:p w14:paraId="68E295F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5DE31617" w14:textId="77777777" w:rsidTr="00EE0810">
        <w:trPr>
          <w:trHeight w:val="425"/>
        </w:trPr>
        <w:tc>
          <w:tcPr>
            <w:tcW w:w="1615" w:type="dxa"/>
            <w:vMerge w:val="restart"/>
          </w:tcPr>
          <w:p w14:paraId="4D27A877"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P-7</w:t>
            </w:r>
          </w:p>
        </w:tc>
        <w:tc>
          <w:tcPr>
            <w:tcW w:w="2770" w:type="dxa"/>
            <w:vMerge w:val="restart"/>
          </w:tcPr>
          <w:p w14:paraId="0576AB3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HelioPure: A Multi-Stage Photocatalytic–Ion Exchange–Adsorptive Device for Decentralized Surface Water Treatment</w:t>
            </w:r>
          </w:p>
        </w:tc>
        <w:tc>
          <w:tcPr>
            <w:tcW w:w="1577" w:type="dxa"/>
            <w:vMerge w:val="restart"/>
          </w:tcPr>
          <w:p w14:paraId="3493D3A5"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Krishna, Aadit*</w:t>
            </w:r>
          </w:p>
        </w:tc>
        <w:tc>
          <w:tcPr>
            <w:tcW w:w="1628" w:type="dxa"/>
            <w:vMerge w:val="restart"/>
          </w:tcPr>
          <w:p w14:paraId="262B3949"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North Carolina Student Academy of Sciences, Central Academy of Technology and Arts</w:t>
            </w:r>
          </w:p>
        </w:tc>
        <w:tc>
          <w:tcPr>
            <w:tcW w:w="1760" w:type="dxa"/>
          </w:tcPr>
          <w:p w14:paraId="63415EEA"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2C65D874" w14:textId="77777777" w:rsidTr="00EE0810">
        <w:trPr>
          <w:trHeight w:val="424"/>
        </w:trPr>
        <w:tc>
          <w:tcPr>
            <w:tcW w:w="1615" w:type="dxa"/>
            <w:vMerge/>
          </w:tcPr>
          <w:p w14:paraId="6BD35D73" w14:textId="77777777" w:rsidR="00817F8E" w:rsidRPr="00D03374" w:rsidRDefault="00817F8E" w:rsidP="00EE0810">
            <w:pPr>
              <w:rPr>
                <w:rFonts w:ascii="Calibri" w:hAnsi="Calibri" w:cs="Calibri"/>
                <w:sz w:val="18"/>
                <w:szCs w:val="18"/>
              </w:rPr>
            </w:pPr>
          </w:p>
        </w:tc>
        <w:tc>
          <w:tcPr>
            <w:tcW w:w="2770" w:type="dxa"/>
            <w:vMerge/>
          </w:tcPr>
          <w:p w14:paraId="26B4F09A" w14:textId="77777777" w:rsidR="00817F8E" w:rsidRPr="00D03374" w:rsidRDefault="00817F8E" w:rsidP="00EE0810">
            <w:pPr>
              <w:rPr>
                <w:rFonts w:ascii="Calibri" w:hAnsi="Calibri" w:cs="Calibri"/>
                <w:sz w:val="18"/>
                <w:szCs w:val="18"/>
              </w:rPr>
            </w:pPr>
          </w:p>
        </w:tc>
        <w:tc>
          <w:tcPr>
            <w:tcW w:w="1577" w:type="dxa"/>
            <w:vMerge/>
          </w:tcPr>
          <w:p w14:paraId="067F061C" w14:textId="77777777" w:rsidR="00817F8E" w:rsidRPr="00D03374" w:rsidRDefault="00817F8E" w:rsidP="00EE0810">
            <w:pPr>
              <w:rPr>
                <w:rFonts w:ascii="Calibri" w:hAnsi="Calibri" w:cs="Calibri"/>
                <w:sz w:val="18"/>
                <w:szCs w:val="18"/>
              </w:rPr>
            </w:pPr>
          </w:p>
        </w:tc>
        <w:tc>
          <w:tcPr>
            <w:tcW w:w="1628" w:type="dxa"/>
            <w:vMerge/>
          </w:tcPr>
          <w:p w14:paraId="521A228F" w14:textId="77777777" w:rsidR="00817F8E" w:rsidRPr="00D03374" w:rsidRDefault="00817F8E" w:rsidP="00EE0810">
            <w:pPr>
              <w:rPr>
                <w:rFonts w:ascii="Calibri" w:hAnsi="Calibri" w:cs="Calibri"/>
                <w:sz w:val="18"/>
                <w:szCs w:val="18"/>
              </w:rPr>
            </w:pPr>
          </w:p>
        </w:tc>
        <w:tc>
          <w:tcPr>
            <w:tcW w:w="1760" w:type="dxa"/>
          </w:tcPr>
          <w:p w14:paraId="4FAC9F3D" w14:textId="77777777" w:rsidR="00817F8E" w:rsidRPr="00D03374" w:rsidRDefault="00817F8E" w:rsidP="00EE0810">
            <w:pPr>
              <w:rPr>
                <w:rFonts w:ascii="Calibri" w:hAnsi="Calibri" w:cs="Calibri"/>
                <w:sz w:val="18"/>
                <w:szCs w:val="18"/>
              </w:rPr>
            </w:pPr>
          </w:p>
        </w:tc>
      </w:tr>
      <w:tr w:rsidR="00817F8E" w:rsidRPr="00D03374" w14:paraId="6FF1D197" w14:textId="77777777" w:rsidTr="00EE0810">
        <w:trPr>
          <w:trHeight w:val="425"/>
        </w:trPr>
        <w:tc>
          <w:tcPr>
            <w:tcW w:w="1615" w:type="dxa"/>
            <w:vMerge w:val="restart"/>
          </w:tcPr>
          <w:p w14:paraId="5A2DA631"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P-8</w:t>
            </w:r>
          </w:p>
        </w:tc>
        <w:tc>
          <w:tcPr>
            <w:tcW w:w="2770" w:type="dxa"/>
            <w:vMerge w:val="restart"/>
          </w:tcPr>
          <w:p w14:paraId="244D8DA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What’s Left Behind: Tracking Litter in the Lumber River</w:t>
            </w:r>
          </w:p>
        </w:tc>
        <w:tc>
          <w:tcPr>
            <w:tcW w:w="1577" w:type="dxa"/>
            <w:vMerge w:val="restart"/>
          </w:tcPr>
          <w:p w14:paraId="4E401011"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Matthews, Lillian, Jerry Griffith*</w:t>
            </w:r>
          </w:p>
        </w:tc>
        <w:tc>
          <w:tcPr>
            <w:tcW w:w="1628" w:type="dxa"/>
            <w:vMerge w:val="restart"/>
          </w:tcPr>
          <w:p w14:paraId="0AB53232"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Lillian Matthews, Department of Earth, Environmental and Geographical Sciences, University of North Carolina at Charlotte; Jerry Griffith, Department of Geology &amp; Geography, University of North Carolina at Pembroke</w:t>
            </w:r>
          </w:p>
        </w:tc>
        <w:tc>
          <w:tcPr>
            <w:tcW w:w="1760" w:type="dxa"/>
          </w:tcPr>
          <w:p w14:paraId="64536FB8"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7F182C9E" w14:textId="77777777" w:rsidTr="00EE0810">
        <w:trPr>
          <w:trHeight w:val="424"/>
        </w:trPr>
        <w:tc>
          <w:tcPr>
            <w:tcW w:w="1615" w:type="dxa"/>
            <w:vMerge/>
          </w:tcPr>
          <w:p w14:paraId="2B026F57" w14:textId="77777777" w:rsidR="00817F8E" w:rsidRPr="00D03374" w:rsidRDefault="00817F8E" w:rsidP="00EE0810">
            <w:pPr>
              <w:rPr>
                <w:rFonts w:ascii="Calibri" w:hAnsi="Calibri" w:cs="Calibri"/>
                <w:sz w:val="18"/>
                <w:szCs w:val="18"/>
              </w:rPr>
            </w:pPr>
          </w:p>
        </w:tc>
        <w:tc>
          <w:tcPr>
            <w:tcW w:w="2770" w:type="dxa"/>
            <w:vMerge/>
          </w:tcPr>
          <w:p w14:paraId="17761C39" w14:textId="77777777" w:rsidR="00817F8E" w:rsidRPr="00D03374" w:rsidRDefault="00817F8E" w:rsidP="00EE0810">
            <w:pPr>
              <w:rPr>
                <w:rFonts w:ascii="Calibri" w:hAnsi="Calibri" w:cs="Calibri"/>
                <w:sz w:val="18"/>
                <w:szCs w:val="18"/>
              </w:rPr>
            </w:pPr>
          </w:p>
        </w:tc>
        <w:tc>
          <w:tcPr>
            <w:tcW w:w="1577" w:type="dxa"/>
            <w:vMerge/>
          </w:tcPr>
          <w:p w14:paraId="2925725A" w14:textId="77777777" w:rsidR="00817F8E" w:rsidRPr="00D03374" w:rsidRDefault="00817F8E" w:rsidP="00EE0810">
            <w:pPr>
              <w:rPr>
                <w:rFonts w:ascii="Calibri" w:hAnsi="Calibri" w:cs="Calibri"/>
                <w:sz w:val="18"/>
                <w:szCs w:val="18"/>
              </w:rPr>
            </w:pPr>
          </w:p>
        </w:tc>
        <w:tc>
          <w:tcPr>
            <w:tcW w:w="1628" w:type="dxa"/>
            <w:vMerge/>
          </w:tcPr>
          <w:p w14:paraId="1CA0B0A7" w14:textId="77777777" w:rsidR="00817F8E" w:rsidRPr="00D03374" w:rsidRDefault="00817F8E" w:rsidP="00EE0810">
            <w:pPr>
              <w:rPr>
                <w:rFonts w:ascii="Calibri" w:hAnsi="Calibri" w:cs="Calibri"/>
                <w:sz w:val="18"/>
                <w:szCs w:val="18"/>
              </w:rPr>
            </w:pPr>
          </w:p>
        </w:tc>
        <w:tc>
          <w:tcPr>
            <w:tcW w:w="1760" w:type="dxa"/>
          </w:tcPr>
          <w:p w14:paraId="5BA5B4DB"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w:t>
            </w:r>
          </w:p>
        </w:tc>
      </w:tr>
      <w:tr w:rsidR="00817F8E" w:rsidRPr="00D03374" w14:paraId="6B4A2571" w14:textId="77777777" w:rsidTr="00EE0810">
        <w:trPr>
          <w:trHeight w:val="425"/>
        </w:trPr>
        <w:tc>
          <w:tcPr>
            <w:tcW w:w="1615" w:type="dxa"/>
            <w:vMerge w:val="restart"/>
          </w:tcPr>
          <w:p w14:paraId="5D749B4A"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lastRenderedPageBreak/>
              <w:t>P-9</w:t>
            </w:r>
          </w:p>
        </w:tc>
        <w:tc>
          <w:tcPr>
            <w:tcW w:w="2770" w:type="dxa"/>
            <w:vMerge w:val="restart"/>
          </w:tcPr>
          <w:p w14:paraId="5D764351"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Historic earthwork management and soil quality at New Bern Battlefield Park</w:t>
            </w:r>
          </w:p>
        </w:tc>
        <w:tc>
          <w:tcPr>
            <w:tcW w:w="1577" w:type="dxa"/>
            <w:vMerge w:val="restart"/>
          </w:tcPr>
          <w:p w14:paraId="1D0167A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Menser, Eliza*, Bethany Brinkman</w:t>
            </w:r>
          </w:p>
        </w:tc>
        <w:tc>
          <w:tcPr>
            <w:tcW w:w="1628" w:type="dxa"/>
            <w:vMerge w:val="restart"/>
          </w:tcPr>
          <w:p w14:paraId="59F304E1"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Elon University, Elon University</w:t>
            </w:r>
          </w:p>
        </w:tc>
        <w:tc>
          <w:tcPr>
            <w:tcW w:w="1760" w:type="dxa"/>
          </w:tcPr>
          <w:p w14:paraId="5B0F0BF2"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48E73BAE" w14:textId="77777777" w:rsidTr="00EE0810">
        <w:trPr>
          <w:trHeight w:val="424"/>
        </w:trPr>
        <w:tc>
          <w:tcPr>
            <w:tcW w:w="1615" w:type="dxa"/>
            <w:vMerge/>
          </w:tcPr>
          <w:p w14:paraId="168B5AC9" w14:textId="77777777" w:rsidR="00817F8E" w:rsidRPr="00D03374" w:rsidRDefault="00817F8E" w:rsidP="00EE0810">
            <w:pPr>
              <w:rPr>
                <w:rFonts w:ascii="Calibri" w:hAnsi="Calibri" w:cs="Calibri"/>
                <w:sz w:val="18"/>
                <w:szCs w:val="18"/>
              </w:rPr>
            </w:pPr>
          </w:p>
        </w:tc>
        <w:tc>
          <w:tcPr>
            <w:tcW w:w="2770" w:type="dxa"/>
            <w:vMerge/>
          </w:tcPr>
          <w:p w14:paraId="7B2698DF" w14:textId="77777777" w:rsidR="00817F8E" w:rsidRPr="00D03374" w:rsidRDefault="00817F8E" w:rsidP="00EE0810">
            <w:pPr>
              <w:rPr>
                <w:rFonts w:ascii="Calibri" w:hAnsi="Calibri" w:cs="Calibri"/>
                <w:sz w:val="18"/>
                <w:szCs w:val="18"/>
              </w:rPr>
            </w:pPr>
          </w:p>
        </w:tc>
        <w:tc>
          <w:tcPr>
            <w:tcW w:w="1577" w:type="dxa"/>
            <w:vMerge/>
          </w:tcPr>
          <w:p w14:paraId="12C3AAA3" w14:textId="77777777" w:rsidR="00817F8E" w:rsidRPr="00D03374" w:rsidRDefault="00817F8E" w:rsidP="00EE0810">
            <w:pPr>
              <w:rPr>
                <w:rFonts w:ascii="Calibri" w:hAnsi="Calibri" w:cs="Calibri"/>
                <w:sz w:val="18"/>
                <w:szCs w:val="18"/>
              </w:rPr>
            </w:pPr>
          </w:p>
        </w:tc>
        <w:tc>
          <w:tcPr>
            <w:tcW w:w="1628" w:type="dxa"/>
            <w:vMerge/>
          </w:tcPr>
          <w:p w14:paraId="7775D9FF" w14:textId="77777777" w:rsidR="00817F8E" w:rsidRPr="00D03374" w:rsidRDefault="00817F8E" w:rsidP="00EE0810">
            <w:pPr>
              <w:rPr>
                <w:rFonts w:ascii="Calibri" w:hAnsi="Calibri" w:cs="Calibri"/>
                <w:sz w:val="18"/>
                <w:szCs w:val="18"/>
              </w:rPr>
            </w:pPr>
          </w:p>
        </w:tc>
        <w:tc>
          <w:tcPr>
            <w:tcW w:w="1760" w:type="dxa"/>
          </w:tcPr>
          <w:p w14:paraId="7F3900F9"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79745068" w14:textId="77777777" w:rsidTr="00EE0810">
        <w:trPr>
          <w:trHeight w:val="425"/>
        </w:trPr>
        <w:tc>
          <w:tcPr>
            <w:tcW w:w="1615" w:type="dxa"/>
            <w:vMerge w:val="restart"/>
          </w:tcPr>
          <w:p w14:paraId="69E9595A"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P-10</w:t>
            </w:r>
          </w:p>
        </w:tc>
        <w:tc>
          <w:tcPr>
            <w:tcW w:w="2770" w:type="dxa"/>
            <w:vMerge w:val="restart"/>
          </w:tcPr>
          <w:p w14:paraId="3815B50D"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Search for antimicrobial-producing bacteria in NC wetlands</w:t>
            </w:r>
          </w:p>
        </w:tc>
        <w:tc>
          <w:tcPr>
            <w:tcW w:w="1577" w:type="dxa"/>
            <w:vMerge w:val="restart"/>
          </w:tcPr>
          <w:p w14:paraId="33CF8805"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Moffa, Parker*, Leila Reyes-Ruiz</w:t>
            </w:r>
          </w:p>
        </w:tc>
        <w:tc>
          <w:tcPr>
            <w:tcW w:w="1628" w:type="dxa"/>
            <w:vMerge w:val="restart"/>
          </w:tcPr>
          <w:p w14:paraId="3BA1E88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Campbell University (for both)</w:t>
            </w:r>
          </w:p>
        </w:tc>
        <w:tc>
          <w:tcPr>
            <w:tcW w:w="1760" w:type="dxa"/>
          </w:tcPr>
          <w:p w14:paraId="4D63670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34180061" w14:textId="77777777" w:rsidTr="00EE0810">
        <w:trPr>
          <w:trHeight w:val="424"/>
        </w:trPr>
        <w:tc>
          <w:tcPr>
            <w:tcW w:w="1615" w:type="dxa"/>
            <w:vMerge/>
          </w:tcPr>
          <w:p w14:paraId="7E3D8FF4" w14:textId="77777777" w:rsidR="00817F8E" w:rsidRPr="00D03374" w:rsidRDefault="00817F8E" w:rsidP="00EE0810">
            <w:pPr>
              <w:rPr>
                <w:rFonts w:ascii="Calibri" w:hAnsi="Calibri" w:cs="Calibri"/>
                <w:sz w:val="18"/>
                <w:szCs w:val="18"/>
              </w:rPr>
            </w:pPr>
          </w:p>
        </w:tc>
        <w:tc>
          <w:tcPr>
            <w:tcW w:w="2770" w:type="dxa"/>
            <w:vMerge/>
          </w:tcPr>
          <w:p w14:paraId="1AC86C51" w14:textId="77777777" w:rsidR="00817F8E" w:rsidRPr="00D03374" w:rsidRDefault="00817F8E" w:rsidP="00EE0810">
            <w:pPr>
              <w:rPr>
                <w:rFonts w:ascii="Calibri" w:hAnsi="Calibri" w:cs="Calibri"/>
                <w:sz w:val="18"/>
                <w:szCs w:val="18"/>
              </w:rPr>
            </w:pPr>
          </w:p>
        </w:tc>
        <w:tc>
          <w:tcPr>
            <w:tcW w:w="1577" w:type="dxa"/>
            <w:vMerge/>
          </w:tcPr>
          <w:p w14:paraId="15F02FD4" w14:textId="77777777" w:rsidR="00817F8E" w:rsidRPr="00D03374" w:rsidRDefault="00817F8E" w:rsidP="00EE0810">
            <w:pPr>
              <w:rPr>
                <w:rFonts w:ascii="Calibri" w:hAnsi="Calibri" w:cs="Calibri"/>
                <w:sz w:val="18"/>
                <w:szCs w:val="18"/>
              </w:rPr>
            </w:pPr>
          </w:p>
        </w:tc>
        <w:tc>
          <w:tcPr>
            <w:tcW w:w="1628" w:type="dxa"/>
            <w:vMerge/>
          </w:tcPr>
          <w:p w14:paraId="3A6787AC" w14:textId="77777777" w:rsidR="00817F8E" w:rsidRPr="00D03374" w:rsidRDefault="00817F8E" w:rsidP="00EE0810">
            <w:pPr>
              <w:rPr>
                <w:rFonts w:ascii="Calibri" w:hAnsi="Calibri" w:cs="Calibri"/>
                <w:sz w:val="18"/>
                <w:szCs w:val="18"/>
              </w:rPr>
            </w:pPr>
          </w:p>
        </w:tc>
        <w:tc>
          <w:tcPr>
            <w:tcW w:w="1760" w:type="dxa"/>
          </w:tcPr>
          <w:p w14:paraId="30CC990B"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6D2806FA" w14:textId="77777777" w:rsidTr="00EE0810">
        <w:trPr>
          <w:trHeight w:val="425"/>
        </w:trPr>
        <w:tc>
          <w:tcPr>
            <w:tcW w:w="1615" w:type="dxa"/>
            <w:vMerge w:val="restart"/>
          </w:tcPr>
          <w:p w14:paraId="17D36AB9"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P-11</w:t>
            </w:r>
          </w:p>
        </w:tc>
        <w:tc>
          <w:tcPr>
            <w:tcW w:w="2770" w:type="dxa"/>
            <w:vMerge w:val="restart"/>
          </w:tcPr>
          <w:p w14:paraId="24B1FAC0"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Mosquito surveillance in Pembroke, NC</w:t>
            </w:r>
          </w:p>
        </w:tc>
        <w:tc>
          <w:tcPr>
            <w:tcW w:w="1577" w:type="dxa"/>
            <w:vMerge w:val="restart"/>
          </w:tcPr>
          <w:p w14:paraId="5AED4C6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Patrick, Kayla*, Molly Trautman, Haley S. Caldwell</w:t>
            </w:r>
          </w:p>
        </w:tc>
        <w:tc>
          <w:tcPr>
            <w:tcW w:w="1628" w:type="dxa"/>
            <w:vMerge w:val="restart"/>
          </w:tcPr>
          <w:p w14:paraId="5C99BFAC"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University of North Carolina at Pembroke, Elizabeth City State University</w:t>
            </w:r>
          </w:p>
        </w:tc>
        <w:tc>
          <w:tcPr>
            <w:tcW w:w="1760" w:type="dxa"/>
          </w:tcPr>
          <w:p w14:paraId="115B0DAB"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4E021EF9" w14:textId="77777777" w:rsidTr="00EE0810">
        <w:trPr>
          <w:trHeight w:val="424"/>
        </w:trPr>
        <w:tc>
          <w:tcPr>
            <w:tcW w:w="1615" w:type="dxa"/>
            <w:vMerge/>
          </w:tcPr>
          <w:p w14:paraId="33A084F4" w14:textId="77777777" w:rsidR="00817F8E" w:rsidRPr="00D03374" w:rsidRDefault="00817F8E" w:rsidP="00EE0810">
            <w:pPr>
              <w:rPr>
                <w:rFonts w:ascii="Calibri" w:hAnsi="Calibri" w:cs="Calibri"/>
                <w:sz w:val="18"/>
                <w:szCs w:val="18"/>
              </w:rPr>
            </w:pPr>
          </w:p>
        </w:tc>
        <w:tc>
          <w:tcPr>
            <w:tcW w:w="2770" w:type="dxa"/>
            <w:vMerge/>
          </w:tcPr>
          <w:p w14:paraId="30196047" w14:textId="77777777" w:rsidR="00817F8E" w:rsidRPr="00D03374" w:rsidRDefault="00817F8E" w:rsidP="00EE0810">
            <w:pPr>
              <w:rPr>
                <w:rFonts w:ascii="Calibri" w:hAnsi="Calibri" w:cs="Calibri"/>
                <w:sz w:val="18"/>
                <w:szCs w:val="18"/>
              </w:rPr>
            </w:pPr>
          </w:p>
        </w:tc>
        <w:tc>
          <w:tcPr>
            <w:tcW w:w="1577" w:type="dxa"/>
            <w:vMerge/>
          </w:tcPr>
          <w:p w14:paraId="588F6340" w14:textId="77777777" w:rsidR="00817F8E" w:rsidRPr="00D03374" w:rsidRDefault="00817F8E" w:rsidP="00EE0810">
            <w:pPr>
              <w:rPr>
                <w:rFonts w:ascii="Calibri" w:hAnsi="Calibri" w:cs="Calibri"/>
                <w:sz w:val="18"/>
                <w:szCs w:val="18"/>
              </w:rPr>
            </w:pPr>
          </w:p>
        </w:tc>
        <w:tc>
          <w:tcPr>
            <w:tcW w:w="1628" w:type="dxa"/>
            <w:vMerge/>
          </w:tcPr>
          <w:p w14:paraId="0FDF77D4" w14:textId="77777777" w:rsidR="00817F8E" w:rsidRPr="00D03374" w:rsidRDefault="00817F8E" w:rsidP="00EE0810">
            <w:pPr>
              <w:rPr>
                <w:rFonts w:ascii="Calibri" w:hAnsi="Calibri" w:cs="Calibri"/>
                <w:sz w:val="18"/>
                <w:szCs w:val="18"/>
              </w:rPr>
            </w:pPr>
          </w:p>
        </w:tc>
        <w:tc>
          <w:tcPr>
            <w:tcW w:w="1760" w:type="dxa"/>
          </w:tcPr>
          <w:p w14:paraId="0B04B0DF"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w:t>
            </w:r>
          </w:p>
        </w:tc>
      </w:tr>
      <w:tr w:rsidR="00817F8E" w:rsidRPr="00D03374" w14:paraId="5E92246E" w14:textId="77777777" w:rsidTr="00EE0810">
        <w:trPr>
          <w:trHeight w:val="425"/>
        </w:trPr>
        <w:tc>
          <w:tcPr>
            <w:tcW w:w="1615" w:type="dxa"/>
            <w:vMerge w:val="restart"/>
          </w:tcPr>
          <w:p w14:paraId="426B06A1"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P-12</w:t>
            </w:r>
          </w:p>
        </w:tc>
        <w:tc>
          <w:tcPr>
            <w:tcW w:w="2770" w:type="dxa"/>
            <w:vMerge w:val="restart"/>
          </w:tcPr>
          <w:p w14:paraId="1EEA35F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Soil Carbon in the Elon Forest: Prior Agricultural Land Use</w:t>
            </w:r>
          </w:p>
        </w:tc>
        <w:tc>
          <w:tcPr>
            <w:tcW w:w="1577" w:type="dxa"/>
            <w:vMerge w:val="restart"/>
          </w:tcPr>
          <w:p w14:paraId="1A2518A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Spence, Gabrielle</w:t>
            </w:r>
          </w:p>
        </w:tc>
        <w:tc>
          <w:tcPr>
            <w:tcW w:w="1628" w:type="dxa"/>
            <w:vMerge w:val="restart"/>
          </w:tcPr>
          <w:p w14:paraId="1C2F82E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Elon University Department of Environmental Studies</w:t>
            </w:r>
          </w:p>
        </w:tc>
        <w:tc>
          <w:tcPr>
            <w:tcW w:w="1760" w:type="dxa"/>
          </w:tcPr>
          <w:p w14:paraId="65BEAA24"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2B56D869" w14:textId="77777777" w:rsidTr="00EE0810">
        <w:trPr>
          <w:trHeight w:val="424"/>
        </w:trPr>
        <w:tc>
          <w:tcPr>
            <w:tcW w:w="1615" w:type="dxa"/>
            <w:vMerge/>
          </w:tcPr>
          <w:p w14:paraId="278C8BBF" w14:textId="77777777" w:rsidR="00817F8E" w:rsidRPr="00D03374" w:rsidRDefault="00817F8E" w:rsidP="00EE0810">
            <w:pPr>
              <w:rPr>
                <w:rFonts w:ascii="Calibri" w:hAnsi="Calibri" w:cs="Calibri"/>
                <w:sz w:val="18"/>
                <w:szCs w:val="18"/>
              </w:rPr>
            </w:pPr>
          </w:p>
        </w:tc>
        <w:tc>
          <w:tcPr>
            <w:tcW w:w="2770" w:type="dxa"/>
            <w:vMerge/>
          </w:tcPr>
          <w:p w14:paraId="55D9D48F" w14:textId="77777777" w:rsidR="00817F8E" w:rsidRPr="00D03374" w:rsidRDefault="00817F8E" w:rsidP="00EE0810">
            <w:pPr>
              <w:rPr>
                <w:rFonts w:ascii="Calibri" w:hAnsi="Calibri" w:cs="Calibri"/>
                <w:sz w:val="18"/>
                <w:szCs w:val="18"/>
              </w:rPr>
            </w:pPr>
          </w:p>
        </w:tc>
        <w:tc>
          <w:tcPr>
            <w:tcW w:w="1577" w:type="dxa"/>
            <w:vMerge/>
          </w:tcPr>
          <w:p w14:paraId="20BC584E" w14:textId="77777777" w:rsidR="00817F8E" w:rsidRPr="00D03374" w:rsidRDefault="00817F8E" w:rsidP="00EE0810">
            <w:pPr>
              <w:rPr>
                <w:rFonts w:ascii="Calibri" w:hAnsi="Calibri" w:cs="Calibri"/>
                <w:sz w:val="18"/>
                <w:szCs w:val="18"/>
              </w:rPr>
            </w:pPr>
          </w:p>
        </w:tc>
        <w:tc>
          <w:tcPr>
            <w:tcW w:w="1628" w:type="dxa"/>
            <w:vMerge/>
          </w:tcPr>
          <w:p w14:paraId="74946074" w14:textId="77777777" w:rsidR="00817F8E" w:rsidRPr="00D03374" w:rsidRDefault="00817F8E" w:rsidP="00EE0810">
            <w:pPr>
              <w:rPr>
                <w:rFonts w:ascii="Calibri" w:hAnsi="Calibri" w:cs="Calibri"/>
                <w:sz w:val="18"/>
                <w:szCs w:val="18"/>
              </w:rPr>
            </w:pPr>
          </w:p>
        </w:tc>
        <w:tc>
          <w:tcPr>
            <w:tcW w:w="1760" w:type="dxa"/>
          </w:tcPr>
          <w:p w14:paraId="7B454436"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254F365F" w14:textId="77777777" w:rsidTr="00EE0810">
        <w:trPr>
          <w:trHeight w:val="425"/>
        </w:trPr>
        <w:tc>
          <w:tcPr>
            <w:tcW w:w="1615" w:type="dxa"/>
            <w:vMerge w:val="restart"/>
          </w:tcPr>
          <w:p w14:paraId="3DB8F34F"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P-13</w:t>
            </w:r>
          </w:p>
        </w:tc>
        <w:tc>
          <w:tcPr>
            <w:tcW w:w="2770" w:type="dxa"/>
            <w:vMerge w:val="restart"/>
          </w:tcPr>
          <w:p w14:paraId="7B5AFC41" w14:textId="0728D7CD" w:rsidR="00817F8E" w:rsidRPr="00D03374" w:rsidRDefault="002F1715" w:rsidP="00EE0810">
            <w:pPr>
              <w:rPr>
                <w:rFonts w:ascii="Calibri" w:hAnsi="Calibri" w:cs="Calibri"/>
                <w:sz w:val="18"/>
                <w:szCs w:val="18"/>
              </w:rPr>
            </w:pPr>
            <w:r w:rsidRPr="002F1715">
              <w:rPr>
                <w:rFonts w:ascii="Calibri" w:hAnsi="Calibri" w:cs="Calibri"/>
                <w:noProof/>
                <w:sz w:val="18"/>
                <w:szCs w:val="18"/>
              </w:rPr>
              <w:t>Aptamer-guided fluorescence for rapid microplastic detection</w:t>
            </w:r>
          </w:p>
        </w:tc>
        <w:tc>
          <w:tcPr>
            <w:tcW w:w="1577" w:type="dxa"/>
            <w:vMerge w:val="restart"/>
          </w:tcPr>
          <w:p w14:paraId="6C8C52A8"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Tariq, M. Muhammad*, Tianqi Song, Zhenquan Jia</w:t>
            </w:r>
          </w:p>
        </w:tc>
        <w:tc>
          <w:tcPr>
            <w:tcW w:w="1628" w:type="dxa"/>
            <w:vMerge w:val="restart"/>
          </w:tcPr>
          <w:p w14:paraId="5E4BD969" w14:textId="7DDD69E3" w:rsidR="00817F8E" w:rsidRPr="00D03374" w:rsidRDefault="00817F8E" w:rsidP="00EE0810">
            <w:pPr>
              <w:rPr>
                <w:rFonts w:ascii="Calibri" w:hAnsi="Calibri" w:cs="Calibri"/>
                <w:sz w:val="18"/>
                <w:szCs w:val="18"/>
              </w:rPr>
            </w:pPr>
            <w:r w:rsidRPr="00F6547B">
              <w:rPr>
                <w:rFonts w:ascii="Calibri" w:hAnsi="Calibri" w:cs="Calibri"/>
                <w:noProof/>
                <w:sz w:val="18"/>
                <w:szCs w:val="18"/>
              </w:rPr>
              <w:t>Tariq, M. Muhammad - Department of Biology, University of North Carolina at Greensboro. Tianqi Song - Department of Nanoscience JSNN, University of North Carolina at Greensboro. Zhenquan Jia - Department of Biology, University of North Carolina at Greensb</w:t>
            </w:r>
            <w:r>
              <w:rPr>
                <w:rFonts w:ascii="Calibri" w:hAnsi="Calibri" w:cs="Calibri"/>
                <w:noProof/>
                <w:sz w:val="18"/>
                <w:szCs w:val="18"/>
              </w:rPr>
              <w:t>oro</w:t>
            </w:r>
          </w:p>
        </w:tc>
        <w:tc>
          <w:tcPr>
            <w:tcW w:w="1760" w:type="dxa"/>
          </w:tcPr>
          <w:p w14:paraId="1EE07E05"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7D82EAF3" w14:textId="77777777" w:rsidTr="00EE0810">
        <w:trPr>
          <w:trHeight w:val="424"/>
        </w:trPr>
        <w:tc>
          <w:tcPr>
            <w:tcW w:w="1615" w:type="dxa"/>
            <w:vMerge/>
          </w:tcPr>
          <w:p w14:paraId="6AE5A8F6" w14:textId="77777777" w:rsidR="00817F8E" w:rsidRPr="00D03374" w:rsidRDefault="00817F8E" w:rsidP="00EE0810">
            <w:pPr>
              <w:rPr>
                <w:rFonts w:ascii="Calibri" w:hAnsi="Calibri" w:cs="Calibri"/>
                <w:sz w:val="18"/>
                <w:szCs w:val="18"/>
              </w:rPr>
            </w:pPr>
          </w:p>
        </w:tc>
        <w:tc>
          <w:tcPr>
            <w:tcW w:w="2770" w:type="dxa"/>
            <w:vMerge/>
          </w:tcPr>
          <w:p w14:paraId="078FC607" w14:textId="77777777" w:rsidR="00817F8E" w:rsidRPr="00D03374" w:rsidRDefault="00817F8E" w:rsidP="00EE0810">
            <w:pPr>
              <w:rPr>
                <w:rFonts w:ascii="Calibri" w:hAnsi="Calibri" w:cs="Calibri"/>
                <w:sz w:val="18"/>
                <w:szCs w:val="18"/>
              </w:rPr>
            </w:pPr>
          </w:p>
        </w:tc>
        <w:tc>
          <w:tcPr>
            <w:tcW w:w="1577" w:type="dxa"/>
            <w:vMerge/>
          </w:tcPr>
          <w:p w14:paraId="31ACBA4F" w14:textId="77777777" w:rsidR="00817F8E" w:rsidRPr="00D03374" w:rsidRDefault="00817F8E" w:rsidP="00EE0810">
            <w:pPr>
              <w:rPr>
                <w:rFonts w:ascii="Calibri" w:hAnsi="Calibri" w:cs="Calibri"/>
                <w:sz w:val="18"/>
                <w:szCs w:val="18"/>
              </w:rPr>
            </w:pPr>
          </w:p>
        </w:tc>
        <w:tc>
          <w:tcPr>
            <w:tcW w:w="1628" w:type="dxa"/>
            <w:vMerge/>
          </w:tcPr>
          <w:p w14:paraId="4A743247" w14:textId="77777777" w:rsidR="00817F8E" w:rsidRPr="00D03374" w:rsidRDefault="00817F8E" w:rsidP="00EE0810">
            <w:pPr>
              <w:rPr>
                <w:rFonts w:ascii="Calibri" w:hAnsi="Calibri" w:cs="Calibri"/>
                <w:sz w:val="18"/>
                <w:szCs w:val="18"/>
              </w:rPr>
            </w:pPr>
          </w:p>
        </w:tc>
        <w:tc>
          <w:tcPr>
            <w:tcW w:w="1760" w:type="dxa"/>
          </w:tcPr>
          <w:p w14:paraId="66B9B5D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11291A75" w14:textId="77777777" w:rsidTr="00EE0810">
        <w:trPr>
          <w:trHeight w:val="425"/>
        </w:trPr>
        <w:tc>
          <w:tcPr>
            <w:tcW w:w="1615" w:type="dxa"/>
            <w:vMerge w:val="restart"/>
          </w:tcPr>
          <w:p w14:paraId="227C5C4C"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P-14</w:t>
            </w:r>
          </w:p>
        </w:tc>
        <w:tc>
          <w:tcPr>
            <w:tcW w:w="2770" w:type="dxa"/>
            <w:vMerge w:val="restart"/>
          </w:tcPr>
          <w:p w14:paraId="17ED985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A quantitative overview of the microplastics found in the gastrointestinal tract of the spottail pinfish (Diplodus holbrookii).</w:t>
            </w:r>
          </w:p>
        </w:tc>
        <w:tc>
          <w:tcPr>
            <w:tcW w:w="1577" w:type="dxa"/>
            <w:vMerge w:val="restart"/>
          </w:tcPr>
          <w:p w14:paraId="10FB0FF0"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Wall, George*, Holly Peterson</w:t>
            </w:r>
          </w:p>
        </w:tc>
        <w:tc>
          <w:tcPr>
            <w:tcW w:w="1628" w:type="dxa"/>
            <w:vMerge w:val="restart"/>
          </w:tcPr>
          <w:p w14:paraId="0A9F3019"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Guilford College</w:t>
            </w:r>
          </w:p>
        </w:tc>
        <w:tc>
          <w:tcPr>
            <w:tcW w:w="1760" w:type="dxa"/>
          </w:tcPr>
          <w:p w14:paraId="1804F49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2FCEFECF" w14:textId="77777777" w:rsidTr="00EE0810">
        <w:trPr>
          <w:trHeight w:val="424"/>
        </w:trPr>
        <w:tc>
          <w:tcPr>
            <w:tcW w:w="1615" w:type="dxa"/>
            <w:vMerge/>
          </w:tcPr>
          <w:p w14:paraId="70E8B1CC" w14:textId="77777777" w:rsidR="00817F8E" w:rsidRPr="00D03374" w:rsidRDefault="00817F8E" w:rsidP="00EE0810">
            <w:pPr>
              <w:rPr>
                <w:rFonts w:ascii="Calibri" w:hAnsi="Calibri" w:cs="Calibri"/>
                <w:sz w:val="18"/>
                <w:szCs w:val="18"/>
              </w:rPr>
            </w:pPr>
          </w:p>
        </w:tc>
        <w:tc>
          <w:tcPr>
            <w:tcW w:w="2770" w:type="dxa"/>
            <w:vMerge/>
          </w:tcPr>
          <w:p w14:paraId="29F9E143" w14:textId="77777777" w:rsidR="00817F8E" w:rsidRPr="00D03374" w:rsidRDefault="00817F8E" w:rsidP="00EE0810">
            <w:pPr>
              <w:rPr>
                <w:rFonts w:ascii="Calibri" w:hAnsi="Calibri" w:cs="Calibri"/>
                <w:sz w:val="18"/>
                <w:szCs w:val="18"/>
              </w:rPr>
            </w:pPr>
          </w:p>
        </w:tc>
        <w:tc>
          <w:tcPr>
            <w:tcW w:w="1577" w:type="dxa"/>
            <w:vMerge/>
          </w:tcPr>
          <w:p w14:paraId="72438E72" w14:textId="77777777" w:rsidR="00817F8E" w:rsidRPr="00D03374" w:rsidRDefault="00817F8E" w:rsidP="00EE0810">
            <w:pPr>
              <w:rPr>
                <w:rFonts w:ascii="Calibri" w:hAnsi="Calibri" w:cs="Calibri"/>
                <w:sz w:val="18"/>
                <w:szCs w:val="18"/>
              </w:rPr>
            </w:pPr>
          </w:p>
        </w:tc>
        <w:tc>
          <w:tcPr>
            <w:tcW w:w="1628" w:type="dxa"/>
            <w:vMerge/>
          </w:tcPr>
          <w:p w14:paraId="24BC93B7" w14:textId="77777777" w:rsidR="00817F8E" w:rsidRPr="00D03374" w:rsidRDefault="00817F8E" w:rsidP="00EE0810">
            <w:pPr>
              <w:rPr>
                <w:rFonts w:ascii="Calibri" w:hAnsi="Calibri" w:cs="Calibri"/>
                <w:sz w:val="18"/>
                <w:szCs w:val="18"/>
              </w:rPr>
            </w:pPr>
          </w:p>
        </w:tc>
        <w:tc>
          <w:tcPr>
            <w:tcW w:w="1760" w:type="dxa"/>
          </w:tcPr>
          <w:p w14:paraId="717BA753"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3A782F19" w14:textId="77777777" w:rsidTr="00EE0810">
        <w:trPr>
          <w:trHeight w:val="425"/>
        </w:trPr>
        <w:tc>
          <w:tcPr>
            <w:tcW w:w="1615" w:type="dxa"/>
            <w:vMerge w:val="restart"/>
          </w:tcPr>
          <w:p w14:paraId="33121528"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P-15</w:t>
            </w:r>
          </w:p>
        </w:tc>
        <w:tc>
          <w:tcPr>
            <w:tcW w:w="2770" w:type="dxa"/>
            <w:vMerge w:val="restart"/>
          </w:tcPr>
          <w:p w14:paraId="57C25DB8"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PHENOTYPIC Characterization and Antimicrobial Activity of Soil-Derived Bacterial Isolates</w:t>
            </w:r>
          </w:p>
        </w:tc>
        <w:tc>
          <w:tcPr>
            <w:tcW w:w="1577" w:type="dxa"/>
            <w:vMerge w:val="restart"/>
          </w:tcPr>
          <w:p w14:paraId="569252E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Wallmann, Gabriel* , Samuel, Bohlen , Michelle, Thomas</w:t>
            </w:r>
          </w:p>
        </w:tc>
        <w:tc>
          <w:tcPr>
            <w:tcW w:w="1628" w:type="dxa"/>
            <w:vMerge w:val="restart"/>
          </w:tcPr>
          <w:p w14:paraId="468359CF"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Campbell University, Department of Biological Sciences</w:t>
            </w:r>
          </w:p>
        </w:tc>
        <w:tc>
          <w:tcPr>
            <w:tcW w:w="1760" w:type="dxa"/>
          </w:tcPr>
          <w:p w14:paraId="381937A3"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6D00F488" w14:textId="77777777" w:rsidTr="00EE0810">
        <w:trPr>
          <w:trHeight w:val="424"/>
        </w:trPr>
        <w:tc>
          <w:tcPr>
            <w:tcW w:w="1615" w:type="dxa"/>
            <w:vMerge/>
          </w:tcPr>
          <w:p w14:paraId="2FB3A57B" w14:textId="77777777" w:rsidR="00817F8E" w:rsidRPr="00D03374" w:rsidRDefault="00817F8E" w:rsidP="00EE0810">
            <w:pPr>
              <w:rPr>
                <w:rFonts w:ascii="Calibri" w:hAnsi="Calibri" w:cs="Calibri"/>
                <w:sz w:val="18"/>
                <w:szCs w:val="18"/>
              </w:rPr>
            </w:pPr>
          </w:p>
        </w:tc>
        <w:tc>
          <w:tcPr>
            <w:tcW w:w="2770" w:type="dxa"/>
            <w:vMerge/>
          </w:tcPr>
          <w:p w14:paraId="19E01988" w14:textId="77777777" w:rsidR="00817F8E" w:rsidRPr="00D03374" w:rsidRDefault="00817F8E" w:rsidP="00EE0810">
            <w:pPr>
              <w:rPr>
                <w:rFonts w:ascii="Calibri" w:hAnsi="Calibri" w:cs="Calibri"/>
                <w:sz w:val="18"/>
                <w:szCs w:val="18"/>
              </w:rPr>
            </w:pPr>
          </w:p>
        </w:tc>
        <w:tc>
          <w:tcPr>
            <w:tcW w:w="1577" w:type="dxa"/>
            <w:vMerge/>
          </w:tcPr>
          <w:p w14:paraId="45403293" w14:textId="77777777" w:rsidR="00817F8E" w:rsidRPr="00D03374" w:rsidRDefault="00817F8E" w:rsidP="00EE0810">
            <w:pPr>
              <w:rPr>
                <w:rFonts w:ascii="Calibri" w:hAnsi="Calibri" w:cs="Calibri"/>
                <w:sz w:val="18"/>
                <w:szCs w:val="18"/>
              </w:rPr>
            </w:pPr>
          </w:p>
        </w:tc>
        <w:tc>
          <w:tcPr>
            <w:tcW w:w="1628" w:type="dxa"/>
            <w:vMerge/>
          </w:tcPr>
          <w:p w14:paraId="4AE105C5" w14:textId="77777777" w:rsidR="00817F8E" w:rsidRPr="00D03374" w:rsidRDefault="00817F8E" w:rsidP="00EE0810">
            <w:pPr>
              <w:rPr>
                <w:rFonts w:ascii="Calibri" w:hAnsi="Calibri" w:cs="Calibri"/>
                <w:sz w:val="18"/>
                <w:szCs w:val="18"/>
              </w:rPr>
            </w:pPr>
          </w:p>
        </w:tc>
        <w:tc>
          <w:tcPr>
            <w:tcW w:w="1760" w:type="dxa"/>
          </w:tcPr>
          <w:p w14:paraId="35A744A3"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65C0768B" w14:textId="77777777" w:rsidTr="00EE0810">
        <w:trPr>
          <w:trHeight w:val="425"/>
        </w:trPr>
        <w:tc>
          <w:tcPr>
            <w:tcW w:w="1615" w:type="dxa"/>
            <w:vMerge w:val="restart"/>
          </w:tcPr>
          <w:p w14:paraId="58B20502"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P-16</w:t>
            </w:r>
          </w:p>
        </w:tc>
        <w:tc>
          <w:tcPr>
            <w:tcW w:w="2770" w:type="dxa"/>
            <w:vMerge w:val="restart"/>
          </w:tcPr>
          <w:p w14:paraId="40770474"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Antimicrobial potential of bacterial Isolates from brown marmorated stinkbugs</w:t>
            </w:r>
          </w:p>
        </w:tc>
        <w:tc>
          <w:tcPr>
            <w:tcW w:w="1577" w:type="dxa"/>
            <w:vMerge w:val="restart"/>
          </w:tcPr>
          <w:p w14:paraId="30F2B11B"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Harvey, Sarah*, Mathews, Stephanie</w:t>
            </w:r>
          </w:p>
        </w:tc>
        <w:tc>
          <w:tcPr>
            <w:tcW w:w="1628" w:type="dxa"/>
            <w:vMerge w:val="restart"/>
          </w:tcPr>
          <w:p w14:paraId="69811FEA"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North Carolina State University</w:t>
            </w:r>
          </w:p>
        </w:tc>
        <w:tc>
          <w:tcPr>
            <w:tcW w:w="1760" w:type="dxa"/>
          </w:tcPr>
          <w:p w14:paraId="19B23C50"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3605455E" w14:textId="77777777" w:rsidTr="00EE0810">
        <w:trPr>
          <w:trHeight w:val="424"/>
        </w:trPr>
        <w:tc>
          <w:tcPr>
            <w:tcW w:w="1615" w:type="dxa"/>
            <w:vMerge/>
          </w:tcPr>
          <w:p w14:paraId="23909627" w14:textId="77777777" w:rsidR="00817F8E" w:rsidRPr="00D03374" w:rsidRDefault="00817F8E" w:rsidP="00EE0810">
            <w:pPr>
              <w:rPr>
                <w:rFonts w:ascii="Calibri" w:hAnsi="Calibri" w:cs="Calibri"/>
                <w:sz w:val="18"/>
                <w:szCs w:val="18"/>
              </w:rPr>
            </w:pPr>
          </w:p>
        </w:tc>
        <w:tc>
          <w:tcPr>
            <w:tcW w:w="2770" w:type="dxa"/>
            <w:vMerge/>
          </w:tcPr>
          <w:p w14:paraId="7CDD1FF8" w14:textId="77777777" w:rsidR="00817F8E" w:rsidRPr="00D03374" w:rsidRDefault="00817F8E" w:rsidP="00EE0810">
            <w:pPr>
              <w:rPr>
                <w:rFonts w:ascii="Calibri" w:hAnsi="Calibri" w:cs="Calibri"/>
                <w:sz w:val="18"/>
                <w:szCs w:val="18"/>
              </w:rPr>
            </w:pPr>
          </w:p>
        </w:tc>
        <w:tc>
          <w:tcPr>
            <w:tcW w:w="1577" w:type="dxa"/>
            <w:vMerge/>
          </w:tcPr>
          <w:p w14:paraId="4A206A13" w14:textId="77777777" w:rsidR="00817F8E" w:rsidRPr="00D03374" w:rsidRDefault="00817F8E" w:rsidP="00EE0810">
            <w:pPr>
              <w:rPr>
                <w:rFonts w:ascii="Calibri" w:hAnsi="Calibri" w:cs="Calibri"/>
                <w:sz w:val="18"/>
                <w:szCs w:val="18"/>
              </w:rPr>
            </w:pPr>
          </w:p>
        </w:tc>
        <w:tc>
          <w:tcPr>
            <w:tcW w:w="1628" w:type="dxa"/>
            <w:vMerge/>
          </w:tcPr>
          <w:p w14:paraId="589233D7" w14:textId="77777777" w:rsidR="00817F8E" w:rsidRPr="00D03374" w:rsidRDefault="00817F8E" w:rsidP="00EE0810">
            <w:pPr>
              <w:rPr>
                <w:rFonts w:ascii="Calibri" w:hAnsi="Calibri" w:cs="Calibri"/>
                <w:sz w:val="18"/>
                <w:szCs w:val="18"/>
              </w:rPr>
            </w:pPr>
          </w:p>
        </w:tc>
        <w:tc>
          <w:tcPr>
            <w:tcW w:w="1760" w:type="dxa"/>
          </w:tcPr>
          <w:p w14:paraId="7BDBB03E"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Yes</w:t>
            </w:r>
          </w:p>
        </w:tc>
      </w:tr>
      <w:tr w:rsidR="00817F8E" w:rsidRPr="00D03374" w14:paraId="3908B9AF" w14:textId="77777777" w:rsidTr="00EE0810">
        <w:trPr>
          <w:trHeight w:val="425"/>
        </w:trPr>
        <w:tc>
          <w:tcPr>
            <w:tcW w:w="1615" w:type="dxa"/>
            <w:vMerge w:val="restart"/>
          </w:tcPr>
          <w:p w14:paraId="0342F0F5" w14:textId="77777777" w:rsidR="00817F8E" w:rsidRPr="00D03374" w:rsidRDefault="00817F8E" w:rsidP="00EE0810">
            <w:pPr>
              <w:rPr>
                <w:rFonts w:ascii="Calibri" w:hAnsi="Calibri" w:cs="Calibri"/>
                <w:noProof/>
                <w:sz w:val="18"/>
                <w:szCs w:val="18"/>
              </w:rPr>
            </w:pPr>
            <w:r w:rsidRPr="00F6547B">
              <w:rPr>
                <w:rFonts w:ascii="Calibri" w:hAnsi="Calibri" w:cs="Calibri"/>
                <w:noProof/>
                <w:sz w:val="18"/>
                <w:szCs w:val="18"/>
              </w:rPr>
              <w:t>P-17</w:t>
            </w:r>
          </w:p>
        </w:tc>
        <w:tc>
          <w:tcPr>
            <w:tcW w:w="2770" w:type="dxa"/>
            <w:vMerge w:val="restart"/>
          </w:tcPr>
          <w:p w14:paraId="3A229742"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Validation of an electric stimulator to extract venoms of spiders and scorpions</w:t>
            </w:r>
          </w:p>
        </w:tc>
        <w:tc>
          <w:tcPr>
            <w:tcW w:w="1577" w:type="dxa"/>
            <w:vMerge w:val="restart"/>
          </w:tcPr>
          <w:p w14:paraId="5C1197EB"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Julio César González Gómez*, Andrés Marquez, Ingrid Yumaira Álvarez Parra, David Guzmán</w:t>
            </w:r>
          </w:p>
        </w:tc>
        <w:tc>
          <w:tcPr>
            <w:tcW w:w="1628" w:type="dxa"/>
            <w:vMerge w:val="restart"/>
          </w:tcPr>
          <w:p w14:paraId="29FDF427"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Universidad Surcolombiana, Entomopixel LLC, Universidad Surcolombiana, Entomopixel LLC</w:t>
            </w:r>
          </w:p>
        </w:tc>
        <w:tc>
          <w:tcPr>
            <w:tcW w:w="1760" w:type="dxa"/>
          </w:tcPr>
          <w:p w14:paraId="0E8C5795"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6:00-6:45 PM</w:t>
            </w:r>
          </w:p>
        </w:tc>
      </w:tr>
      <w:tr w:rsidR="00817F8E" w:rsidRPr="00D03374" w14:paraId="58B98140" w14:textId="77777777" w:rsidTr="00EE0810">
        <w:trPr>
          <w:trHeight w:val="424"/>
        </w:trPr>
        <w:tc>
          <w:tcPr>
            <w:tcW w:w="1615" w:type="dxa"/>
            <w:vMerge/>
          </w:tcPr>
          <w:p w14:paraId="1EC83E27" w14:textId="77777777" w:rsidR="00817F8E" w:rsidRPr="00D03374" w:rsidRDefault="00817F8E" w:rsidP="00EE0810">
            <w:pPr>
              <w:rPr>
                <w:rFonts w:ascii="Calibri" w:hAnsi="Calibri" w:cs="Calibri"/>
                <w:sz w:val="18"/>
                <w:szCs w:val="18"/>
              </w:rPr>
            </w:pPr>
          </w:p>
        </w:tc>
        <w:tc>
          <w:tcPr>
            <w:tcW w:w="2770" w:type="dxa"/>
            <w:vMerge/>
          </w:tcPr>
          <w:p w14:paraId="03050DE7" w14:textId="77777777" w:rsidR="00817F8E" w:rsidRPr="00D03374" w:rsidRDefault="00817F8E" w:rsidP="00EE0810">
            <w:pPr>
              <w:rPr>
                <w:rFonts w:ascii="Calibri" w:hAnsi="Calibri" w:cs="Calibri"/>
                <w:sz w:val="18"/>
                <w:szCs w:val="18"/>
              </w:rPr>
            </w:pPr>
          </w:p>
        </w:tc>
        <w:tc>
          <w:tcPr>
            <w:tcW w:w="1577" w:type="dxa"/>
            <w:vMerge/>
          </w:tcPr>
          <w:p w14:paraId="73F2FF14" w14:textId="77777777" w:rsidR="00817F8E" w:rsidRPr="00D03374" w:rsidRDefault="00817F8E" w:rsidP="00EE0810">
            <w:pPr>
              <w:rPr>
                <w:rFonts w:ascii="Calibri" w:hAnsi="Calibri" w:cs="Calibri"/>
                <w:sz w:val="18"/>
                <w:szCs w:val="18"/>
              </w:rPr>
            </w:pPr>
          </w:p>
        </w:tc>
        <w:tc>
          <w:tcPr>
            <w:tcW w:w="1628" w:type="dxa"/>
            <w:vMerge/>
          </w:tcPr>
          <w:p w14:paraId="4C3089E5" w14:textId="77777777" w:rsidR="00817F8E" w:rsidRPr="00D03374" w:rsidRDefault="00817F8E" w:rsidP="00EE0810">
            <w:pPr>
              <w:rPr>
                <w:rFonts w:ascii="Calibri" w:hAnsi="Calibri" w:cs="Calibri"/>
                <w:sz w:val="18"/>
                <w:szCs w:val="18"/>
              </w:rPr>
            </w:pPr>
          </w:p>
        </w:tc>
        <w:tc>
          <w:tcPr>
            <w:tcW w:w="1760" w:type="dxa"/>
          </w:tcPr>
          <w:p w14:paraId="7D26E8AF" w14:textId="77777777" w:rsidR="00817F8E" w:rsidRPr="00D03374" w:rsidRDefault="00817F8E" w:rsidP="00EE0810">
            <w:pPr>
              <w:rPr>
                <w:rFonts w:ascii="Calibri" w:hAnsi="Calibri" w:cs="Calibri"/>
                <w:sz w:val="18"/>
                <w:szCs w:val="18"/>
              </w:rPr>
            </w:pPr>
            <w:r w:rsidRPr="00F6547B">
              <w:rPr>
                <w:rFonts w:ascii="Calibri" w:hAnsi="Calibri" w:cs="Calibri"/>
                <w:noProof/>
                <w:sz w:val="18"/>
                <w:szCs w:val="18"/>
              </w:rPr>
              <w:t>No</w:t>
            </w:r>
          </w:p>
        </w:tc>
      </w:tr>
      <w:tr w:rsidR="00B77465" w:rsidRPr="00D03374" w14:paraId="67204A7B" w14:textId="77777777" w:rsidTr="00EE0810">
        <w:trPr>
          <w:trHeight w:val="425"/>
        </w:trPr>
        <w:tc>
          <w:tcPr>
            <w:tcW w:w="1615" w:type="dxa"/>
            <w:vMerge w:val="restart"/>
          </w:tcPr>
          <w:p w14:paraId="1B18489E"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P-18</w:t>
            </w:r>
          </w:p>
        </w:tc>
        <w:tc>
          <w:tcPr>
            <w:tcW w:w="2770" w:type="dxa"/>
            <w:vMerge w:val="restart"/>
          </w:tcPr>
          <w:p w14:paraId="0DA691CB"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Replication of a standard PA14 survival assay in TDP- 43–mutant C. elegans</w:t>
            </w:r>
          </w:p>
        </w:tc>
        <w:tc>
          <w:tcPr>
            <w:tcW w:w="1577" w:type="dxa"/>
            <w:vMerge w:val="restart"/>
          </w:tcPr>
          <w:p w14:paraId="4A33DBA8"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Lang, Analise*, Courtney Alexander, PhD</w:t>
            </w:r>
          </w:p>
        </w:tc>
        <w:tc>
          <w:tcPr>
            <w:tcW w:w="1628" w:type="dxa"/>
            <w:vMerge w:val="restart"/>
          </w:tcPr>
          <w:p w14:paraId="427E9DBD"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University of North Carolina at Pembroke</w:t>
            </w:r>
          </w:p>
        </w:tc>
        <w:tc>
          <w:tcPr>
            <w:tcW w:w="1760" w:type="dxa"/>
          </w:tcPr>
          <w:p w14:paraId="0E76301C"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27BC6E72" w14:textId="77777777" w:rsidTr="00EE0810">
        <w:trPr>
          <w:trHeight w:val="424"/>
        </w:trPr>
        <w:tc>
          <w:tcPr>
            <w:tcW w:w="1615" w:type="dxa"/>
            <w:vMerge/>
          </w:tcPr>
          <w:p w14:paraId="5CD6463F" w14:textId="77777777" w:rsidR="00B77465" w:rsidRPr="00D03374" w:rsidRDefault="00B77465" w:rsidP="00EE0810">
            <w:pPr>
              <w:rPr>
                <w:rFonts w:ascii="Calibri" w:hAnsi="Calibri" w:cs="Calibri"/>
                <w:sz w:val="18"/>
                <w:szCs w:val="18"/>
              </w:rPr>
            </w:pPr>
          </w:p>
        </w:tc>
        <w:tc>
          <w:tcPr>
            <w:tcW w:w="2770" w:type="dxa"/>
            <w:vMerge/>
          </w:tcPr>
          <w:p w14:paraId="2351B881" w14:textId="77777777" w:rsidR="00B77465" w:rsidRPr="00D03374" w:rsidRDefault="00B77465" w:rsidP="00EE0810">
            <w:pPr>
              <w:rPr>
                <w:rFonts w:ascii="Calibri" w:hAnsi="Calibri" w:cs="Calibri"/>
                <w:sz w:val="18"/>
                <w:szCs w:val="18"/>
              </w:rPr>
            </w:pPr>
          </w:p>
        </w:tc>
        <w:tc>
          <w:tcPr>
            <w:tcW w:w="1577" w:type="dxa"/>
            <w:vMerge/>
          </w:tcPr>
          <w:p w14:paraId="111FE9A2" w14:textId="77777777" w:rsidR="00B77465" w:rsidRPr="00D03374" w:rsidRDefault="00B77465" w:rsidP="00EE0810">
            <w:pPr>
              <w:rPr>
                <w:rFonts w:ascii="Calibri" w:hAnsi="Calibri" w:cs="Calibri"/>
                <w:sz w:val="18"/>
                <w:szCs w:val="18"/>
              </w:rPr>
            </w:pPr>
          </w:p>
        </w:tc>
        <w:tc>
          <w:tcPr>
            <w:tcW w:w="1628" w:type="dxa"/>
            <w:vMerge/>
          </w:tcPr>
          <w:p w14:paraId="1052AB3E" w14:textId="77777777" w:rsidR="00B77465" w:rsidRPr="00D03374" w:rsidRDefault="00B77465" w:rsidP="00EE0810">
            <w:pPr>
              <w:rPr>
                <w:rFonts w:ascii="Calibri" w:hAnsi="Calibri" w:cs="Calibri"/>
                <w:sz w:val="18"/>
                <w:szCs w:val="18"/>
              </w:rPr>
            </w:pPr>
          </w:p>
        </w:tc>
        <w:tc>
          <w:tcPr>
            <w:tcW w:w="1760" w:type="dxa"/>
          </w:tcPr>
          <w:p w14:paraId="4E8036A0"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r w:rsidR="00B77465" w:rsidRPr="00D03374" w14:paraId="7AB42E9A" w14:textId="77777777" w:rsidTr="00EE0810">
        <w:trPr>
          <w:trHeight w:val="425"/>
        </w:trPr>
        <w:tc>
          <w:tcPr>
            <w:tcW w:w="1615" w:type="dxa"/>
            <w:vMerge w:val="restart"/>
          </w:tcPr>
          <w:p w14:paraId="4448F1F2"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lastRenderedPageBreak/>
              <w:t>P-19</w:t>
            </w:r>
          </w:p>
        </w:tc>
        <w:tc>
          <w:tcPr>
            <w:tcW w:w="2770" w:type="dxa"/>
            <w:vMerge w:val="restart"/>
          </w:tcPr>
          <w:p w14:paraId="3D76B3E6"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Ecological preferences of wintergreen orchids (Tipularia discolor, Goodyera pubescens, and Aplectrum hyemale) in the backyard of the Haliwa-Saponi Indian Tribe</w:t>
            </w:r>
          </w:p>
        </w:tc>
        <w:tc>
          <w:tcPr>
            <w:tcW w:w="1577" w:type="dxa"/>
            <w:vMerge w:val="restart"/>
          </w:tcPr>
          <w:p w14:paraId="0DE04704"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Lynch, Lucas,* Lisa Kelly</w:t>
            </w:r>
          </w:p>
        </w:tc>
        <w:tc>
          <w:tcPr>
            <w:tcW w:w="1628" w:type="dxa"/>
            <w:vMerge w:val="restart"/>
          </w:tcPr>
          <w:p w14:paraId="70110A5D"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University of North Carolina at Pembroke</w:t>
            </w:r>
          </w:p>
        </w:tc>
        <w:tc>
          <w:tcPr>
            <w:tcW w:w="1760" w:type="dxa"/>
          </w:tcPr>
          <w:p w14:paraId="58C78E8A"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40DEB05A" w14:textId="77777777" w:rsidTr="00EE0810">
        <w:trPr>
          <w:trHeight w:val="424"/>
        </w:trPr>
        <w:tc>
          <w:tcPr>
            <w:tcW w:w="1615" w:type="dxa"/>
            <w:vMerge/>
          </w:tcPr>
          <w:p w14:paraId="6D6CCE6B" w14:textId="77777777" w:rsidR="00B77465" w:rsidRPr="00D03374" w:rsidRDefault="00B77465" w:rsidP="00EE0810">
            <w:pPr>
              <w:rPr>
                <w:rFonts w:ascii="Calibri" w:hAnsi="Calibri" w:cs="Calibri"/>
                <w:sz w:val="18"/>
                <w:szCs w:val="18"/>
              </w:rPr>
            </w:pPr>
          </w:p>
        </w:tc>
        <w:tc>
          <w:tcPr>
            <w:tcW w:w="2770" w:type="dxa"/>
            <w:vMerge/>
          </w:tcPr>
          <w:p w14:paraId="0237BE1C" w14:textId="77777777" w:rsidR="00B77465" w:rsidRPr="00D03374" w:rsidRDefault="00B77465" w:rsidP="00EE0810">
            <w:pPr>
              <w:rPr>
                <w:rFonts w:ascii="Calibri" w:hAnsi="Calibri" w:cs="Calibri"/>
                <w:sz w:val="18"/>
                <w:szCs w:val="18"/>
              </w:rPr>
            </w:pPr>
          </w:p>
        </w:tc>
        <w:tc>
          <w:tcPr>
            <w:tcW w:w="1577" w:type="dxa"/>
            <w:vMerge/>
          </w:tcPr>
          <w:p w14:paraId="2F84E68E" w14:textId="77777777" w:rsidR="00B77465" w:rsidRPr="00D03374" w:rsidRDefault="00B77465" w:rsidP="00EE0810">
            <w:pPr>
              <w:rPr>
                <w:rFonts w:ascii="Calibri" w:hAnsi="Calibri" w:cs="Calibri"/>
                <w:sz w:val="18"/>
                <w:szCs w:val="18"/>
              </w:rPr>
            </w:pPr>
          </w:p>
        </w:tc>
        <w:tc>
          <w:tcPr>
            <w:tcW w:w="1628" w:type="dxa"/>
            <w:vMerge/>
          </w:tcPr>
          <w:p w14:paraId="188D99C7" w14:textId="77777777" w:rsidR="00B77465" w:rsidRPr="00D03374" w:rsidRDefault="00B77465" w:rsidP="00EE0810">
            <w:pPr>
              <w:rPr>
                <w:rFonts w:ascii="Calibri" w:hAnsi="Calibri" w:cs="Calibri"/>
                <w:sz w:val="18"/>
                <w:szCs w:val="18"/>
              </w:rPr>
            </w:pPr>
          </w:p>
        </w:tc>
        <w:tc>
          <w:tcPr>
            <w:tcW w:w="1760" w:type="dxa"/>
          </w:tcPr>
          <w:p w14:paraId="0B5116A7"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r w:rsidR="00B77465" w:rsidRPr="00D03374" w14:paraId="269B6FE0" w14:textId="77777777" w:rsidTr="00EE0810">
        <w:trPr>
          <w:trHeight w:val="425"/>
        </w:trPr>
        <w:tc>
          <w:tcPr>
            <w:tcW w:w="1615" w:type="dxa"/>
            <w:vMerge w:val="restart"/>
          </w:tcPr>
          <w:p w14:paraId="02A66E4D"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P-20</w:t>
            </w:r>
          </w:p>
        </w:tc>
        <w:tc>
          <w:tcPr>
            <w:tcW w:w="2770" w:type="dxa"/>
            <w:vMerge w:val="restart"/>
          </w:tcPr>
          <w:p w14:paraId="45E2273C"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The Hidden Link: Endocrine Disruptors, Autoimmunity, and the Oral-Gut Microbial Axis</w:t>
            </w:r>
          </w:p>
        </w:tc>
        <w:tc>
          <w:tcPr>
            <w:tcW w:w="1577" w:type="dxa"/>
            <w:vMerge w:val="restart"/>
          </w:tcPr>
          <w:p w14:paraId="10080989"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Makenna Grozis*</w:t>
            </w:r>
          </w:p>
        </w:tc>
        <w:tc>
          <w:tcPr>
            <w:tcW w:w="1628" w:type="dxa"/>
            <w:vMerge w:val="restart"/>
          </w:tcPr>
          <w:p w14:paraId="1F6283FE"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216E7C18"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403E75F0" w14:textId="77777777" w:rsidTr="00EE0810">
        <w:trPr>
          <w:trHeight w:val="424"/>
        </w:trPr>
        <w:tc>
          <w:tcPr>
            <w:tcW w:w="1615" w:type="dxa"/>
            <w:vMerge/>
          </w:tcPr>
          <w:p w14:paraId="341F9EF8" w14:textId="77777777" w:rsidR="00B77465" w:rsidRPr="00D03374" w:rsidRDefault="00B77465" w:rsidP="00EE0810">
            <w:pPr>
              <w:rPr>
                <w:rFonts w:ascii="Calibri" w:hAnsi="Calibri" w:cs="Calibri"/>
                <w:sz w:val="18"/>
                <w:szCs w:val="18"/>
              </w:rPr>
            </w:pPr>
          </w:p>
        </w:tc>
        <w:tc>
          <w:tcPr>
            <w:tcW w:w="2770" w:type="dxa"/>
            <w:vMerge/>
          </w:tcPr>
          <w:p w14:paraId="3C226B95" w14:textId="77777777" w:rsidR="00B77465" w:rsidRPr="00D03374" w:rsidRDefault="00B77465" w:rsidP="00EE0810">
            <w:pPr>
              <w:rPr>
                <w:rFonts w:ascii="Calibri" w:hAnsi="Calibri" w:cs="Calibri"/>
                <w:sz w:val="18"/>
                <w:szCs w:val="18"/>
              </w:rPr>
            </w:pPr>
          </w:p>
        </w:tc>
        <w:tc>
          <w:tcPr>
            <w:tcW w:w="1577" w:type="dxa"/>
            <w:vMerge/>
          </w:tcPr>
          <w:p w14:paraId="0F8604A7" w14:textId="77777777" w:rsidR="00B77465" w:rsidRPr="00D03374" w:rsidRDefault="00B77465" w:rsidP="00EE0810">
            <w:pPr>
              <w:rPr>
                <w:rFonts w:ascii="Calibri" w:hAnsi="Calibri" w:cs="Calibri"/>
                <w:sz w:val="18"/>
                <w:szCs w:val="18"/>
              </w:rPr>
            </w:pPr>
          </w:p>
        </w:tc>
        <w:tc>
          <w:tcPr>
            <w:tcW w:w="1628" w:type="dxa"/>
            <w:vMerge/>
          </w:tcPr>
          <w:p w14:paraId="236D461F" w14:textId="77777777" w:rsidR="00B77465" w:rsidRPr="00D03374" w:rsidRDefault="00B77465" w:rsidP="00EE0810">
            <w:pPr>
              <w:rPr>
                <w:rFonts w:ascii="Calibri" w:hAnsi="Calibri" w:cs="Calibri"/>
                <w:sz w:val="18"/>
                <w:szCs w:val="18"/>
              </w:rPr>
            </w:pPr>
          </w:p>
        </w:tc>
        <w:tc>
          <w:tcPr>
            <w:tcW w:w="1760" w:type="dxa"/>
          </w:tcPr>
          <w:p w14:paraId="3227E9BB"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r w:rsidR="00B77465" w:rsidRPr="00D03374" w14:paraId="74EA6CDF" w14:textId="77777777" w:rsidTr="00EE0810">
        <w:trPr>
          <w:trHeight w:val="425"/>
        </w:trPr>
        <w:tc>
          <w:tcPr>
            <w:tcW w:w="1615" w:type="dxa"/>
            <w:vMerge w:val="restart"/>
          </w:tcPr>
          <w:p w14:paraId="123513FD"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P-21</w:t>
            </w:r>
          </w:p>
        </w:tc>
        <w:tc>
          <w:tcPr>
            <w:tcW w:w="2770" w:type="dxa"/>
            <w:vMerge w:val="restart"/>
          </w:tcPr>
          <w:p w14:paraId="194C7B52"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Effect of Crassocephalum crepidioides on Growth Factors and Receptors in Danio rerio (zebrafish)</w:t>
            </w:r>
          </w:p>
        </w:tc>
        <w:tc>
          <w:tcPr>
            <w:tcW w:w="1577" w:type="dxa"/>
            <w:vMerge w:val="restart"/>
          </w:tcPr>
          <w:p w14:paraId="2623CB49"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Molly Moylan</w:t>
            </w:r>
          </w:p>
        </w:tc>
        <w:tc>
          <w:tcPr>
            <w:tcW w:w="1628" w:type="dxa"/>
            <w:vMerge w:val="restart"/>
          </w:tcPr>
          <w:p w14:paraId="463A88D6"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4EA04100"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3DD35611" w14:textId="77777777" w:rsidTr="00EE0810">
        <w:trPr>
          <w:trHeight w:val="424"/>
        </w:trPr>
        <w:tc>
          <w:tcPr>
            <w:tcW w:w="1615" w:type="dxa"/>
            <w:vMerge/>
          </w:tcPr>
          <w:p w14:paraId="605F98FA" w14:textId="77777777" w:rsidR="00B77465" w:rsidRPr="00D03374" w:rsidRDefault="00B77465" w:rsidP="00EE0810">
            <w:pPr>
              <w:rPr>
                <w:rFonts w:ascii="Calibri" w:hAnsi="Calibri" w:cs="Calibri"/>
                <w:sz w:val="18"/>
                <w:szCs w:val="18"/>
              </w:rPr>
            </w:pPr>
          </w:p>
        </w:tc>
        <w:tc>
          <w:tcPr>
            <w:tcW w:w="2770" w:type="dxa"/>
            <w:vMerge/>
          </w:tcPr>
          <w:p w14:paraId="4E7C934C" w14:textId="77777777" w:rsidR="00B77465" w:rsidRPr="00D03374" w:rsidRDefault="00B77465" w:rsidP="00EE0810">
            <w:pPr>
              <w:rPr>
                <w:rFonts w:ascii="Calibri" w:hAnsi="Calibri" w:cs="Calibri"/>
                <w:sz w:val="18"/>
                <w:szCs w:val="18"/>
              </w:rPr>
            </w:pPr>
          </w:p>
        </w:tc>
        <w:tc>
          <w:tcPr>
            <w:tcW w:w="1577" w:type="dxa"/>
            <w:vMerge/>
          </w:tcPr>
          <w:p w14:paraId="1C2BBAB4" w14:textId="77777777" w:rsidR="00B77465" w:rsidRPr="00D03374" w:rsidRDefault="00B77465" w:rsidP="00EE0810">
            <w:pPr>
              <w:rPr>
                <w:rFonts w:ascii="Calibri" w:hAnsi="Calibri" w:cs="Calibri"/>
                <w:sz w:val="18"/>
                <w:szCs w:val="18"/>
              </w:rPr>
            </w:pPr>
          </w:p>
        </w:tc>
        <w:tc>
          <w:tcPr>
            <w:tcW w:w="1628" w:type="dxa"/>
            <w:vMerge/>
          </w:tcPr>
          <w:p w14:paraId="54A65B0A" w14:textId="77777777" w:rsidR="00B77465" w:rsidRPr="00D03374" w:rsidRDefault="00B77465" w:rsidP="00EE0810">
            <w:pPr>
              <w:rPr>
                <w:rFonts w:ascii="Calibri" w:hAnsi="Calibri" w:cs="Calibri"/>
                <w:sz w:val="18"/>
                <w:szCs w:val="18"/>
              </w:rPr>
            </w:pPr>
          </w:p>
        </w:tc>
        <w:tc>
          <w:tcPr>
            <w:tcW w:w="1760" w:type="dxa"/>
          </w:tcPr>
          <w:p w14:paraId="0CFF6BB2"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r w:rsidR="00B77465" w:rsidRPr="00D03374" w14:paraId="356A5167" w14:textId="77777777" w:rsidTr="00EE0810">
        <w:trPr>
          <w:trHeight w:val="425"/>
        </w:trPr>
        <w:tc>
          <w:tcPr>
            <w:tcW w:w="1615" w:type="dxa"/>
            <w:vMerge w:val="restart"/>
          </w:tcPr>
          <w:p w14:paraId="765546AE"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P-22</w:t>
            </w:r>
          </w:p>
        </w:tc>
        <w:tc>
          <w:tcPr>
            <w:tcW w:w="2770" w:type="dxa"/>
            <w:vMerge w:val="restart"/>
          </w:tcPr>
          <w:p w14:paraId="4085756D"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Transcriptomic analysis of candidate genes involved in soybean resistance to kudzu bug infestation in edamame</w:t>
            </w:r>
          </w:p>
        </w:tc>
        <w:tc>
          <w:tcPr>
            <w:tcW w:w="1577" w:type="dxa"/>
            <w:vMerge w:val="restart"/>
          </w:tcPr>
          <w:p w14:paraId="5AF6A5F2"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Osman, Abigail1*, Skinner-Jones Zoey1, Locklear Rikki1,  Kassem My Abdelmajid1, de Mejia Elvira2, Fallen Ben3, Jiang Guo-Liang4, Yuan Jiazheng (John)1</w:t>
            </w:r>
          </w:p>
        </w:tc>
        <w:tc>
          <w:tcPr>
            <w:tcW w:w="1628" w:type="dxa"/>
            <w:vMerge w:val="restart"/>
          </w:tcPr>
          <w:p w14:paraId="43491C77"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1.Department of Biological and Forensic Sciences, Fayetteville State University, Fayetteville, NC20348 2.Department of Food Science &amp; Human Nutrition, University of Illinois at Urbana-Champaign, IL61801 3.Soybean and Nitrogen Fixation Research, USDA-ARS,</w:t>
            </w:r>
          </w:p>
        </w:tc>
        <w:tc>
          <w:tcPr>
            <w:tcW w:w="1760" w:type="dxa"/>
          </w:tcPr>
          <w:p w14:paraId="66D5DC1E"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4FAA64F4" w14:textId="77777777" w:rsidTr="00EE0810">
        <w:trPr>
          <w:trHeight w:val="424"/>
        </w:trPr>
        <w:tc>
          <w:tcPr>
            <w:tcW w:w="1615" w:type="dxa"/>
            <w:vMerge/>
          </w:tcPr>
          <w:p w14:paraId="4AC1A27A" w14:textId="77777777" w:rsidR="00B77465" w:rsidRPr="00D03374" w:rsidRDefault="00B77465" w:rsidP="00EE0810">
            <w:pPr>
              <w:rPr>
                <w:rFonts w:ascii="Calibri" w:hAnsi="Calibri" w:cs="Calibri"/>
                <w:sz w:val="18"/>
                <w:szCs w:val="18"/>
              </w:rPr>
            </w:pPr>
          </w:p>
        </w:tc>
        <w:tc>
          <w:tcPr>
            <w:tcW w:w="2770" w:type="dxa"/>
            <w:vMerge/>
          </w:tcPr>
          <w:p w14:paraId="0182F5CB" w14:textId="77777777" w:rsidR="00B77465" w:rsidRPr="00D03374" w:rsidRDefault="00B77465" w:rsidP="00EE0810">
            <w:pPr>
              <w:rPr>
                <w:rFonts w:ascii="Calibri" w:hAnsi="Calibri" w:cs="Calibri"/>
                <w:sz w:val="18"/>
                <w:szCs w:val="18"/>
              </w:rPr>
            </w:pPr>
          </w:p>
        </w:tc>
        <w:tc>
          <w:tcPr>
            <w:tcW w:w="1577" w:type="dxa"/>
            <w:vMerge/>
          </w:tcPr>
          <w:p w14:paraId="181C2D90" w14:textId="77777777" w:rsidR="00B77465" w:rsidRPr="00D03374" w:rsidRDefault="00B77465" w:rsidP="00EE0810">
            <w:pPr>
              <w:rPr>
                <w:rFonts w:ascii="Calibri" w:hAnsi="Calibri" w:cs="Calibri"/>
                <w:sz w:val="18"/>
                <w:szCs w:val="18"/>
              </w:rPr>
            </w:pPr>
          </w:p>
        </w:tc>
        <w:tc>
          <w:tcPr>
            <w:tcW w:w="1628" w:type="dxa"/>
            <w:vMerge/>
          </w:tcPr>
          <w:p w14:paraId="0C0CA55D" w14:textId="77777777" w:rsidR="00B77465" w:rsidRPr="00D03374" w:rsidRDefault="00B77465" w:rsidP="00EE0810">
            <w:pPr>
              <w:rPr>
                <w:rFonts w:ascii="Calibri" w:hAnsi="Calibri" w:cs="Calibri"/>
                <w:sz w:val="18"/>
                <w:szCs w:val="18"/>
              </w:rPr>
            </w:pPr>
          </w:p>
        </w:tc>
        <w:tc>
          <w:tcPr>
            <w:tcW w:w="1760" w:type="dxa"/>
          </w:tcPr>
          <w:p w14:paraId="5C309AAA"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r w:rsidR="00B77465" w:rsidRPr="00D03374" w14:paraId="7377EA32" w14:textId="77777777" w:rsidTr="00EE0810">
        <w:trPr>
          <w:trHeight w:val="425"/>
        </w:trPr>
        <w:tc>
          <w:tcPr>
            <w:tcW w:w="1615" w:type="dxa"/>
            <w:vMerge w:val="restart"/>
          </w:tcPr>
          <w:p w14:paraId="4828D24F"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P-23</w:t>
            </w:r>
          </w:p>
        </w:tc>
        <w:tc>
          <w:tcPr>
            <w:tcW w:w="2770" w:type="dxa"/>
            <w:vMerge w:val="restart"/>
          </w:tcPr>
          <w:p w14:paraId="61190780"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Effects of Turmeric, Ginger and Cinnamon With and Without Sucrose on Survival, Locomotion, and Memory Performance in Drosophila melanogaster</w:t>
            </w:r>
          </w:p>
        </w:tc>
        <w:tc>
          <w:tcPr>
            <w:tcW w:w="1577" w:type="dxa"/>
            <w:vMerge w:val="restart"/>
          </w:tcPr>
          <w:p w14:paraId="18419B6F"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Phoncharoensri, Siwat, Patel, Aarav</w:t>
            </w:r>
          </w:p>
        </w:tc>
        <w:tc>
          <w:tcPr>
            <w:tcW w:w="1628" w:type="dxa"/>
            <w:vMerge w:val="restart"/>
          </w:tcPr>
          <w:p w14:paraId="27F4B450"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North Carolina School of Science and Math Morganton (Both)</w:t>
            </w:r>
          </w:p>
        </w:tc>
        <w:tc>
          <w:tcPr>
            <w:tcW w:w="1760" w:type="dxa"/>
          </w:tcPr>
          <w:p w14:paraId="71B6235F"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51F708DE" w14:textId="77777777" w:rsidTr="00EE0810">
        <w:trPr>
          <w:trHeight w:val="424"/>
        </w:trPr>
        <w:tc>
          <w:tcPr>
            <w:tcW w:w="1615" w:type="dxa"/>
            <w:vMerge/>
          </w:tcPr>
          <w:p w14:paraId="5A607593" w14:textId="77777777" w:rsidR="00B77465" w:rsidRPr="00D03374" w:rsidRDefault="00B77465" w:rsidP="00EE0810">
            <w:pPr>
              <w:rPr>
                <w:rFonts w:ascii="Calibri" w:hAnsi="Calibri" w:cs="Calibri"/>
                <w:sz w:val="18"/>
                <w:szCs w:val="18"/>
              </w:rPr>
            </w:pPr>
          </w:p>
        </w:tc>
        <w:tc>
          <w:tcPr>
            <w:tcW w:w="2770" w:type="dxa"/>
            <w:vMerge/>
          </w:tcPr>
          <w:p w14:paraId="418B7A85" w14:textId="77777777" w:rsidR="00B77465" w:rsidRPr="00D03374" w:rsidRDefault="00B77465" w:rsidP="00EE0810">
            <w:pPr>
              <w:rPr>
                <w:rFonts w:ascii="Calibri" w:hAnsi="Calibri" w:cs="Calibri"/>
                <w:sz w:val="18"/>
                <w:szCs w:val="18"/>
              </w:rPr>
            </w:pPr>
          </w:p>
        </w:tc>
        <w:tc>
          <w:tcPr>
            <w:tcW w:w="1577" w:type="dxa"/>
            <w:vMerge/>
          </w:tcPr>
          <w:p w14:paraId="1EE80C4C" w14:textId="77777777" w:rsidR="00B77465" w:rsidRPr="00D03374" w:rsidRDefault="00B77465" w:rsidP="00EE0810">
            <w:pPr>
              <w:rPr>
                <w:rFonts w:ascii="Calibri" w:hAnsi="Calibri" w:cs="Calibri"/>
                <w:sz w:val="18"/>
                <w:szCs w:val="18"/>
              </w:rPr>
            </w:pPr>
          </w:p>
        </w:tc>
        <w:tc>
          <w:tcPr>
            <w:tcW w:w="1628" w:type="dxa"/>
            <w:vMerge/>
          </w:tcPr>
          <w:p w14:paraId="472C7A21" w14:textId="77777777" w:rsidR="00B77465" w:rsidRPr="00D03374" w:rsidRDefault="00B77465" w:rsidP="00EE0810">
            <w:pPr>
              <w:rPr>
                <w:rFonts w:ascii="Calibri" w:hAnsi="Calibri" w:cs="Calibri"/>
                <w:sz w:val="18"/>
                <w:szCs w:val="18"/>
              </w:rPr>
            </w:pPr>
          </w:p>
        </w:tc>
        <w:tc>
          <w:tcPr>
            <w:tcW w:w="1760" w:type="dxa"/>
          </w:tcPr>
          <w:p w14:paraId="10561883"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No</w:t>
            </w:r>
          </w:p>
        </w:tc>
      </w:tr>
      <w:tr w:rsidR="00B77465" w:rsidRPr="00D03374" w14:paraId="264EAB1C" w14:textId="77777777" w:rsidTr="00EE0810">
        <w:trPr>
          <w:trHeight w:val="425"/>
        </w:trPr>
        <w:tc>
          <w:tcPr>
            <w:tcW w:w="1615" w:type="dxa"/>
            <w:vMerge w:val="restart"/>
          </w:tcPr>
          <w:p w14:paraId="0ABB3259"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P-24</w:t>
            </w:r>
          </w:p>
        </w:tc>
        <w:tc>
          <w:tcPr>
            <w:tcW w:w="2770" w:type="dxa"/>
            <w:vMerge w:val="restart"/>
          </w:tcPr>
          <w:p w14:paraId="4A873994"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Physiological Plasticity of Juncus roemerianus: Changes in water relations under combined stressors</w:t>
            </w:r>
          </w:p>
        </w:tc>
        <w:tc>
          <w:tcPr>
            <w:tcW w:w="1577" w:type="dxa"/>
            <w:vMerge w:val="restart"/>
          </w:tcPr>
          <w:p w14:paraId="40B8B3EA"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Plut, Spencer, Emily Cashen, Livia Lampal, and Brant Touchette</w:t>
            </w:r>
          </w:p>
        </w:tc>
        <w:tc>
          <w:tcPr>
            <w:tcW w:w="1628" w:type="dxa"/>
            <w:vMerge w:val="restart"/>
          </w:tcPr>
          <w:p w14:paraId="08DAE6FC"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50DC1641"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4A9ECD36" w14:textId="77777777" w:rsidTr="00EE0810">
        <w:trPr>
          <w:trHeight w:val="424"/>
        </w:trPr>
        <w:tc>
          <w:tcPr>
            <w:tcW w:w="1615" w:type="dxa"/>
            <w:vMerge/>
          </w:tcPr>
          <w:p w14:paraId="33070F70" w14:textId="77777777" w:rsidR="00B77465" w:rsidRPr="00D03374" w:rsidRDefault="00B77465" w:rsidP="00EE0810">
            <w:pPr>
              <w:rPr>
                <w:rFonts w:ascii="Calibri" w:hAnsi="Calibri" w:cs="Calibri"/>
                <w:sz w:val="18"/>
                <w:szCs w:val="18"/>
              </w:rPr>
            </w:pPr>
          </w:p>
        </w:tc>
        <w:tc>
          <w:tcPr>
            <w:tcW w:w="2770" w:type="dxa"/>
            <w:vMerge/>
          </w:tcPr>
          <w:p w14:paraId="30E8135B" w14:textId="77777777" w:rsidR="00B77465" w:rsidRPr="00D03374" w:rsidRDefault="00B77465" w:rsidP="00EE0810">
            <w:pPr>
              <w:rPr>
                <w:rFonts w:ascii="Calibri" w:hAnsi="Calibri" w:cs="Calibri"/>
                <w:sz w:val="18"/>
                <w:szCs w:val="18"/>
              </w:rPr>
            </w:pPr>
          </w:p>
        </w:tc>
        <w:tc>
          <w:tcPr>
            <w:tcW w:w="1577" w:type="dxa"/>
            <w:vMerge/>
          </w:tcPr>
          <w:p w14:paraId="523B5177" w14:textId="77777777" w:rsidR="00B77465" w:rsidRPr="00D03374" w:rsidRDefault="00B77465" w:rsidP="00EE0810">
            <w:pPr>
              <w:rPr>
                <w:rFonts w:ascii="Calibri" w:hAnsi="Calibri" w:cs="Calibri"/>
                <w:sz w:val="18"/>
                <w:szCs w:val="18"/>
              </w:rPr>
            </w:pPr>
          </w:p>
        </w:tc>
        <w:tc>
          <w:tcPr>
            <w:tcW w:w="1628" w:type="dxa"/>
            <w:vMerge/>
          </w:tcPr>
          <w:p w14:paraId="48B1200A" w14:textId="77777777" w:rsidR="00B77465" w:rsidRPr="00D03374" w:rsidRDefault="00B77465" w:rsidP="00EE0810">
            <w:pPr>
              <w:rPr>
                <w:rFonts w:ascii="Calibri" w:hAnsi="Calibri" w:cs="Calibri"/>
                <w:sz w:val="18"/>
                <w:szCs w:val="18"/>
              </w:rPr>
            </w:pPr>
          </w:p>
        </w:tc>
        <w:tc>
          <w:tcPr>
            <w:tcW w:w="1760" w:type="dxa"/>
          </w:tcPr>
          <w:p w14:paraId="4E27095B"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r w:rsidR="00B77465" w:rsidRPr="00D03374" w14:paraId="060B0EAA" w14:textId="77777777" w:rsidTr="00EE0810">
        <w:trPr>
          <w:trHeight w:val="425"/>
        </w:trPr>
        <w:tc>
          <w:tcPr>
            <w:tcW w:w="1615" w:type="dxa"/>
            <w:vMerge w:val="restart"/>
          </w:tcPr>
          <w:p w14:paraId="55C40DF3" w14:textId="77777777" w:rsidR="00B77465" w:rsidRPr="00D03374" w:rsidRDefault="00B77465" w:rsidP="00EE0810">
            <w:pPr>
              <w:rPr>
                <w:rFonts w:ascii="Calibri" w:hAnsi="Calibri" w:cs="Calibri"/>
                <w:noProof/>
                <w:sz w:val="18"/>
                <w:szCs w:val="18"/>
              </w:rPr>
            </w:pPr>
            <w:r w:rsidRPr="00F6547B">
              <w:rPr>
                <w:rFonts w:ascii="Calibri" w:hAnsi="Calibri" w:cs="Calibri"/>
                <w:noProof/>
                <w:sz w:val="18"/>
                <w:szCs w:val="18"/>
              </w:rPr>
              <w:t>P-25</w:t>
            </w:r>
          </w:p>
        </w:tc>
        <w:tc>
          <w:tcPr>
            <w:tcW w:w="2770" w:type="dxa"/>
            <w:vMerge w:val="restart"/>
          </w:tcPr>
          <w:p w14:paraId="5D5803B5"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Genomic admixture facilitates adaptation in sub-Saharan Africa local pig populations</w:t>
            </w:r>
          </w:p>
        </w:tc>
        <w:tc>
          <w:tcPr>
            <w:tcW w:w="1577" w:type="dxa"/>
            <w:vMerge w:val="restart"/>
          </w:tcPr>
          <w:p w14:paraId="14932E31"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Zander Sullivan*, Kwame Darfour-Oduro, Laura Lacolina</w:t>
            </w:r>
          </w:p>
        </w:tc>
        <w:tc>
          <w:tcPr>
            <w:tcW w:w="1628" w:type="dxa"/>
            <w:vMerge w:val="restart"/>
          </w:tcPr>
          <w:p w14:paraId="6D5FD5CE"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University of North Carolina at Greensboro (Zander Sullivan and Kwame Darfour-Oduro), University of Sassari (Laura Lacolina), Aalborg University (Laura Lacolina)</w:t>
            </w:r>
          </w:p>
        </w:tc>
        <w:tc>
          <w:tcPr>
            <w:tcW w:w="1760" w:type="dxa"/>
          </w:tcPr>
          <w:p w14:paraId="109A2F08"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6:00-6:45 PM</w:t>
            </w:r>
          </w:p>
        </w:tc>
      </w:tr>
      <w:tr w:rsidR="00B77465" w:rsidRPr="00D03374" w14:paraId="5206E8C6" w14:textId="77777777" w:rsidTr="00EE0810">
        <w:trPr>
          <w:trHeight w:val="424"/>
        </w:trPr>
        <w:tc>
          <w:tcPr>
            <w:tcW w:w="1615" w:type="dxa"/>
            <w:vMerge/>
          </w:tcPr>
          <w:p w14:paraId="713E518B" w14:textId="77777777" w:rsidR="00B77465" w:rsidRPr="00D03374" w:rsidRDefault="00B77465" w:rsidP="00EE0810">
            <w:pPr>
              <w:rPr>
                <w:rFonts w:ascii="Calibri" w:hAnsi="Calibri" w:cs="Calibri"/>
                <w:sz w:val="18"/>
                <w:szCs w:val="18"/>
              </w:rPr>
            </w:pPr>
          </w:p>
        </w:tc>
        <w:tc>
          <w:tcPr>
            <w:tcW w:w="2770" w:type="dxa"/>
            <w:vMerge/>
          </w:tcPr>
          <w:p w14:paraId="7ECB2DC4" w14:textId="77777777" w:rsidR="00B77465" w:rsidRPr="00D03374" w:rsidRDefault="00B77465" w:rsidP="00EE0810">
            <w:pPr>
              <w:rPr>
                <w:rFonts w:ascii="Calibri" w:hAnsi="Calibri" w:cs="Calibri"/>
                <w:sz w:val="18"/>
                <w:szCs w:val="18"/>
              </w:rPr>
            </w:pPr>
          </w:p>
        </w:tc>
        <w:tc>
          <w:tcPr>
            <w:tcW w:w="1577" w:type="dxa"/>
            <w:vMerge/>
          </w:tcPr>
          <w:p w14:paraId="53A7A42D" w14:textId="77777777" w:rsidR="00B77465" w:rsidRPr="00D03374" w:rsidRDefault="00B77465" w:rsidP="00EE0810">
            <w:pPr>
              <w:rPr>
                <w:rFonts w:ascii="Calibri" w:hAnsi="Calibri" w:cs="Calibri"/>
                <w:sz w:val="18"/>
                <w:szCs w:val="18"/>
              </w:rPr>
            </w:pPr>
          </w:p>
        </w:tc>
        <w:tc>
          <w:tcPr>
            <w:tcW w:w="1628" w:type="dxa"/>
            <w:vMerge/>
          </w:tcPr>
          <w:p w14:paraId="61522272" w14:textId="77777777" w:rsidR="00B77465" w:rsidRPr="00D03374" w:rsidRDefault="00B77465" w:rsidP="00EE0810">
            <w:pPr>
              <w:rPr>
                <w:rFonts w:ascii="Calibri" w:hAnsi="Calibri" w:cs="Calibri"/>
                <w:sz w:val="18"/>
                <w:szCs w:val="18"/>
              </w:rPr>
            </w:pPr>
          </w:p>
        </w:tc>
        <w:tc>
          <w:tcPr>
            <w:tcW w:w="1760" w:type="dxa"/>
          </w:tcPr>
          <w:p w14:paraId="27004FEC" w14:textId="77777777" w:rsidR="00B77465" w:rsidRPr="00D03374" w:rsidRDefault="00B77465" w:rsidP="00EE0810">
            <w:pPr>
              <w:rPr>
                <w:rFonts w:ascii="Calibri" w:hAnsi="Calibri" w:cs="Calibri"/>
                <w:sz w:val="18"/>
                <w:szCs w:val="18"/>
              </w:rPr>
            </w:pPr>
            <w:r w:rsidRPr="00F6547B">
              <w:rPr>
                <w:rFonts w:ascii="Calibri" w:hAnsi="Calibri" w:cs="Calibri"/>
                <w:noProof/>
                <w:sz w:val="18"/>
                <w:szCs w:val="18"/>
              </w:rPr>
              <w:t>Yes</w:t>
            </w:r>
          </w:p>
        </w:tc>
      </w:tr>
    </w:tbl>
    <w:p w14:paraId="675477AB" w14:textId="7A0D141C" w:rsidR="00B7623D" w:rsidRDefault="002114D5" w:rsidP="002114D5">
      <w:pPr>
        <w:jc w:val="center"/>
      </w:pPr>
      <w:hyperlink w:anchor="TableofContents" w:history="1">
        <w:r w:rsidRPr="00B051AC">
          <w:rPr>
            <w:rStyle w:val="Hyperlink"/>
            <w:rFonts w:ascii="Calibri" w:hAnsi="Calibri" w:cs="Calibri"/>
            <w:b/>
            <w:bCs/>
            <w:kern w:val="0"/>
            <w:sz w:val="22"/>
            <w:szCs w:val="22"/>
          </w:rPr>
          <w:t>Return to Table of Contents</w:t>
        </w:r>
      </w:hyperlink>
    </w:p>
    <w:p w14:paraId="23F2D745" w14:textId="77777777" w:rsidR="00CD76C4" w:rsidRDefault="00CD76C4" w:rsidP="002114D5">
      <w:pPr>
        <w:jc w:val="center"/>
      </w:pPr>
    </w:p>
    <w:p w14:paraId="4BFFD909" w14:textId="77777777" w:rsidR="00CD76C4" w:rsidRPr="002114D5" w:rsidRDefault="00CD76C4" w:rsidP="002114D5">
      <w:pPr>
        <w:jc w:val="center"/>
        <w:rPr>
          <w:rFonts w:ascii="Calibri" w:hAnsi="Calibri" w:cs="Calibri"/>
          <w:b/>
          <w:bCs/>
          <w:color w:val="000000"/>
          <w:kern w:val="0"/>
          <w:sz w:val="22"/>
          <w:szCs w:val="22"/>
        </w:rPr>
      </w:pPr>
    </w:p>
    <w:tbl>
      <w:tblPr>
        <w:tblStyle w:val="TableGridLight"/>
        <w:tblW w:w="9350" w:type="dxa"/>
        <w:tblLayout w:type="fixed"/>
        <w:tblLook w:val="04A0" w:firstRow="1" w:lastRow="0" w:firstColumn="1" w:lastColumn="0" w:noHBand="0" w:noVBand="1"/>
      </w:tblPr>
      <w:tblGrid>
        <w:gridCol w:w="1615"/>
        <w:gridCol w:w="2770"/>
        <w:gridCol w:w="1577"/>
        <w:gridCol w:w="1628"/>
        <w:gridCol w:w="1760"/>
      </w:tblGrid>
      <w:tr w:rsidR="00D77FC6" w:rsidRPr="00D03374" w14:paraId="6DE1E974" w14:textId="77777777" w:rsidTr="00EE0810">
        <w:trPr>
          <w:trHeight w:val="425"/>
        </w:trPr>
        <w:tc>
          <w:tcPr>
            <w:tcW w:w="9350" w:type="dxa"/>
            <w:gridSpan w:val="5"/>
            <w:shd w:val="clear" w:color="auto" w:fill="A5C9EB" w:themeFill="text2" w:themeFillTint="40"/>
          </w:tcPr>
          <w:p w14:paraId="2AF7576E" w14:textId="77777777" w:rsidR="00D77FC6" w:rsidRPr="00340E15" w:rsidRDefault="00D77FC6" w:rsidP="00EE0810">
            <w:pPr>
              <w:rPr>
                <w:rFonts w:ascii="Calibri" w:hAnsi="Calibri" w:cs="Calibri"/>
                <w:noProof/>
                <w:sz w:val="28"/>
                <w:szCs w:val="28"/>
              </w:rPr>
            </w:pPr>
            <w:r>
              <w:rPr>
                <w:rFonts w:ascii="Calibri" w:hAnsi="Calibri" w:cs="Calibri"/>
                <w:noProof/>
                <w:sz w:val="28"/>
                <w:szCs w:val="28"/>
              </w:rPr>
              <w:lastRenderedPageBreak/>
              <w:t>Poster Presentations—</w:t>
            </w:r>
            <w:r w:rsidRPr="0022217A">
              <w:rPr>
                <w:rFonts w:ascii="Calibri" w:hAnsi="Calibri" w:cs="Calibri"/>
                <w:noProof/>
                <w:sz w:val="28"/>
                <w:szCs w:val="28"/>
              </w:rPr>
              <w:t>Lakeside Rooms 212, 213, and 214</w:t>
            </w:r>
            <w:r>
              <w:rPr>
                <w:rFonts w:ascii="Calibri" w:hAnsi="Calibri" w:cs="Calibri"/>
                <w:noProof/>
                <w:sz w:val="28"/>
                <w:szCs w:val="28"/>
              </w:rPr>
              <w:t xml:space="preserve">, Friday, April 24   </w:t>
            </w:r>
          </w:p>
        </w:tc>
      </w:tr>
      <w:tr w:rsidR="00D77FC6" w:rsidRPr="00D03374" w14:paraId="5E006D8B" w14:textId="77777777" w:rsidTr="00EE0810">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0EC606D2" w14:textId="77777777" w:rsidR="00D77FC6" w:rsidRPr="00340E15" w:rsidRDefault="00D77FC6" w:rsidP="00EE0810">
            <w:pPr>
              <w:rPr>
                <w:rFonts w:ascii="Calibri" w:hAnsi="Calibri" w:cs="Calibri"/>
                <w:noProof/>
                <w:sz w:val="22"/>
                <w:szCs w:val="22"/>
              </w:rPr>
            </w:pPr>
            <w:bookmarkStart w:id="11" w:name="PosterPresentationChmBiochm"/>
            <w:r>
              <w:rPr>
                <w:rFonts w:ascii="Calibri" w:hAnsi="Calibri" w:cs="Calibri"/>
                <w:noProof/>
                <w:sz w:val="22"/>
                <w:szCs w:val="22"/>
              </w:rPr>
              <w:t xml:space="preserve">Session 1 (6:00-6:45 PM)--Section:  </w:t>
            </w:r>
            <w:r w:rsidRPr="00D219C5">
              <w:rPr>
                <w:rFonts w:ascii="Calibri" w:hAnsi="Calibri" w:cs="Calibri"/>
                <w:noProof/>
                <w:sz w:val="22"/>
                <w:szCs w:val="22"/>
              </w:rPr>
              <w:t>Chemistry, Biochemistry, &amp; Science Education</w:t>
            </w:r>
            <w:bookmarkEnd w:id="11"/>
          </w:p>
        </w:tc>
      </w:tr>
      <w:tr w:rsidR="00D77FC6" w:rsidRPr="00D03374" w14:paraId="59D55A2F" w14:textId="77777777" w:rsidTr="00EE0810">
        <w:trPr>
          <w:trHeight w:hRule="exact" w:val="288"/>
        </w:trPr>
        <w:tc>
          <w:tcPr>
            <w:tcW w:w="1615" w:type="dxa"/>
            <w:shd w:val="clear" w:color="auto" w:fill="D9F2D0" w:themeFill="accent6" w:themeFillTint="33"/>
          </w:tcPr>
          <w:p w14:paraId="517763BB" w14:textId="77777777" w:rsidR="00D77FC6" w:rsidRDefault="00D77FC6" w:rsidP="00EE0810">
            <w:pPr>
              <w:rPr>
                <w:rFonts w:ascii="Calibri" w:hAnsi="Calibri" w:cs="Calibri"/>
                <w:noProof/>
                <w:sz w:val="18"/>
                <w:szCs w:val="18"/>
              </w:rPr>
            </w:pPr>
            <w:r>
              <w:rPr>
                <w:rFonts w:ascii="Calibri" w:hAnsi="Calibri" w:cs="Calibri"/>
                <w:noProof/>
                <w:sz w:val="18"/>
                <w:szCs w:val="18"/>
              </w:rPr>
              <w:t>Poster/Abstract #</w:t>
            </w:r>
          </w:p>
          <w:p w14:paraId="6C39EEE6" w14:textId="77777777" w:rsidR="00D77FC6" w:rsidRDefault="00D77FC6" w:rsidP="00EE0810">
            <w:pPr>
              <w:rPr>
                <w:rFonts w:ascii="Calibri" w:hAnsi="Calibri" w:cs="Calibri"/>
                <w:noProof/>
                <w:sz w:val="18"/>
                <w:szCs w:val="18"/>
              </w:rPr>
            </w:pPr>
          </w:p>
        </w:tc>
        <w:tc>
          <w:tcPr>
            <w:tcW w:w="2770" w:type="dxa"/>
            <w:shd w:val="clear" w:color="auto" w:fill="D9F2D0" w:themeFill="accent6" w:themeFillTint="33"/>
          </w:tcPr>
          <w:p w14:paraId="058ED1F6" w14:textId="77777777" w:rsidR="00D77FC6" w:rsidRPr="00D03374" w:rsidRDefault="00D77FC6" w:rsidP="00EE0810">
            <w:pPr>
              <w:rPr>
                <w:rFonts w:ascii="Calibri" w:hAnsi="Calibri" w:cs="Calibri"/>
                <w:noProof/>
                <w:sz w:val="18"/>
                <w:szCs w:val="18"/>
              </w:rPr>
            </w:pPr>
            <w:r>
              <w:rPr>
                <w:rFonts w:ascii="Calibri" w:hAnsi="Calibri" w:cs="Calibri"/>
                <w:noProof/>
                <w:sz w:val="18"/>
                <w:szCs w:val="18"/>
              </w:rPr>
              <w:t>Title</w:t>
            </w:r>
          </w:p>
        </w:tc>
        <w:tc>
          <w:tcPr>
            <w:tcW w:w="1577" w:type="dxa"/>
            <w:shd w:val="clear" w:color="auto" w:fill="D9F2D0" w:themeFill="accent6" w:themeFillTint="33"/>
          </w:tcPr>
          <w:p w14:paraId="53198D21" w14:textId="77777777" w:rsidR="00D77FC6" w:rsidRDefault="00D77FC6" w:rsidP="00EE0810">
            <w:pPr>
              <w:rPr>
                <w:rFonts w:ascii="Calibri" w:hAnsi="Calibri" w:cs="Calibri"/>
                <w:noProof/>
                <w:sz w:val="18"/>
                <w:szCs w:val="18"/>
              </w:rPr>
            </w:pPr>
            <w:r>
              <w:rPr>
                <w:rFonts w:ascii="Calibri" w:hAnsi="Calibri" w:cs="Calibri"/>
                <w:noProof/>
                <w:sz w:val="18"/>
                <w:szCs w:val="18"/>
              </w:rPr>
              <w:t>Authors</w:t>
            </w:r>
          </w:p>
        </w:tc>
        <w:tc>
          <w:tcPr>
            <w:tcW w:w="1628" w:type="dxa"/>
            <w:shd w:val="clear" w:color="auto" w:fill="D9F2D0" w:themeFill="accent6" w:themeFillTint="33"/>
          </w:tcPr>
          <w:p w14:paraId="1647FEC3" w14:textId="77777777" w:rsidR="00D77FC6" w:rsidRDefault="00D77FC6" w:rsidP="00EE0810">
            <w:pPr>
              <w:rPr>
                <w:rFonts w:ascii="Calibri" w:hAnsi="Calibri" w:cs="Calibri"/>
                <w:noProof/>
                <w:sz w:val="18"/>
                <w:szCs w:val="18"/>
              </w:rPr>
            </w:pPr>
            <w:r>
              <w:rPr>
                <w:rFonts w:ascii="Calibri" w:hAnsi="Calibri" w:cs="Calibri"/>
                <w:noProof/>
                <w:sz w:val="18"/>
                <w:szCs w:val="18"/>
              </w:rPr>
              <w:t>University</w:t>
            </w:r>
          </w:p>
        </w:tc>
        <w:tc>
          <w:tcPr>
            <w:tcW w:w="1760" w:type="dxa"/>
            <w:shd w:val="clear" w:color="auto" w:fill="D9F2D0" w:themeFill="accent6" w:themeFillTint="33"/>
          </w:tcPr>
          <w:p w14:paraId="63053529" w14:textId="77777777" w:rsidR="00D77FC6" w:rsidRDefault="00D77FC6" w:rsidP="00EE0810">
            <w:pPr>
              <w:rPr>
                <w:rFonts w:ascii="Calibri" w:hAnsi="Calibri" w:cs="Calibri"/>
                <w:noProof/>
                <w:sz w:val="18"/>
                <w:szCs w:val="18"/>
              </w:rPr>
            </w:pPr>
            <w:r>
              <w:rPr>
                <w:rFonts w:ascii="Calibri" w:hAnsi="Calibri" w:cs="Calibri"/>
                <w:noProof/>
                <w:sz w:val="18"/>
                <w:szCs w:val="18"/>
              </w:rPr>
              <w:t>Time/Derieux?</w:t>
            </w:r>
          </w:p>
        </w:tc>
      </w:tr>
      <w:tr w:rsidR="00D77FC6" w:rsidRPr="00D03374" w14:paraId="5373F3E9" w14:textId="77777777" w:rsidTr="00EE0810">
        <w:trPr>
          <w:trHeight w:val="425"/>
        </w:trPr>
        <w:tc>
          <w:tcPr>
            <w:tcW w:w="1615" w:type="dxa"/>
            <w:vMerge w:val="restart"/>
          </w:tcPr>
          <w:p w14:paraId="4685F5BF"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P-26</w:t>
            </w:r>
          </w:p>
        </w:tc>
        <w:tc>
          <w:tcPr>
            <w:tcW w:w="2770" w:type="dxa"/>
            <w:vMerge w:val="restart"/>
          </w:tcPr>
          <w:p w14:paraId="1C3175BC"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Hemagglutination of mammalian erythrocytes by cooking oils depend on fatty acid unsaturation</w:t>
            </w:r>
          </w:p>
        </w:tc>
        <w:tc>
          <w:tcPr>
            <w:tcW w:w="1577" w:type="dxa"/>
            <w:vMerge w:val="restart"/>
          </w:tcPr>
          <w:p w14:paraId="307E5C81"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Hansen, Susan, Darryl K. Bing, Ph.D.</w:t>
            </w:r>
          </w:p>
        </w:tc>
        <w:tc>
          <w:tcPr>
            <w:tcW w:w="1628" w:type="dxa"/>
            <w:vMerge w:val="restart"/>
          </w:tcPr>
          <w:p w14:paraId="7AAF84F8"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Durham Technical Community College</w:t>
            </w:r>
          </w:p>
        </w:tc>
        <w:tc>
          <w:tcPr>
            <w:tcW w:w="1760" w:type="dxa"/>
          </w:tcPr>
          <w:p w14:paraId="3A8D2291"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3C5A9E42" w14:textId="77777777" w:rsidTr="00EE0810">
        <w:trPr>
          <w:trHeight w:val="424"/>
        </w:trPr>
        <w:tc>
          <w:tcPr>
            <w:tcW w:w="1615" w:type="dxa"/>
            <w:vMerge/>
          </w:tcPr>
          <w:p w14:paraId="22610651" w14:textId="77777777" w:rsidR="00D77FC6" w:rsidRPr="00D03374" w:rsidRDefault="00D77FC6" w:rsidP="00EE0810">
            <w:pPr>
              <w:rPr>
                <w:rFonts w:ascii="Calibri" w:hAnsi="Calibri" w:cs="Calibri"/>
                <w:sz w:val="18"/>
                <w:szCs w:val="18"/>
              </w:rPr>
            </w:pPr>
          </w:p>
        </w:tc>
        <w:tc>
          <w:tcPr>
            <w:tcW w:w="2770" w:type="dxa"/>
            <w:vMerge/>
          </w:tcPr>
          <w:p w14:paraId="7F3C0EA3" w14:textId="77777777" w:rsidR="00D77FC6" w:rsidRPr="00D03374" w:rsidRDefault="00D77FC6" w:rsidP="00EE0810">
            <w:pPr>
              <w:rPr>
                <w:rFonts w:ascii="Calibri" w:hAnsi="Calibri" w:cs="Calibri"/>
                <w:sz w:val="18"/>
                <w:szCs w:val="18"/>
              </w:rPr>
            </w:pPr>
          </w:p>
        </w:tc>
        <w:tc>
          <w:tcPr>
            <w:tcW w:w="1577" w:type="dxa"/>
            <w:vMerge/>
          </w:tcPr>
          <w:p w14:paraId="3E0A92C7" w14:textId="77777777" w:rsidR="00D77FC6" w:rsidRPr="00D03374" w:rsidRDefault="00D77FC6" w:rsidP="00EE0810">
            <w:pPr>
              <w:rPr>
                <w:rFonts w:ascii="Calibri" w:hAnsi="Calibri" w:cs="Calibri"/>
                <w:sz w:val="18"/>
                <w:szCs w:val="18"/>
              </w:rPr>
            </w:pPr>
          </w:p>
        </w:tc>
        <w:tc>
          <w:tcPr>
            <w:tcW w:w="1628" w:type="dxa"/>
            <w:vMerge/>
          </w:tcPr>
          <w:p w14:paraId="36ADB708" w14:textId="77777777" w:rsidR="00D77FC6" w:rsidRPr="00D03374" w:rsidRDefault="00D77FC6" w:rsidP="00EE0810">
            <w:pPr>
              <w:rPr>
                <w:rFonts w:ascii="Calibri" w:hAnsi="Calibri" w:cs="Calibri"/>
                <w:sz w:val="18"/>
                <w:szCs w:val="18"/>
              </w:rPr>
            </w:pPr>
          </w:p>
        </w:tc>
        <w:tc>
          <w:tcPr>
            <w:tcW w:w="1760" w:type="dxa"/>
          </w:tcPr>
          <w:p w14:paraId="4153867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r w:rsidR="00D77FC6" w:rsidRPr="00D03374" w14:paraId="68B67F79" w14:textId="77777777" w:rsidTr="00EE0810">
        <w:trPr>
          <w:trHeight w:val="425"/>
        </w:trPr>
        <w:tc>
          <w:tcPr>
            <w:tcW w:w="1615" w:type="dxa"/>
            <w:vMerge w:val="restart"/>
          </w:tcPr>
          <w:p w14:paraId="7B761CB2"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P-27</w:t>
            </w:r>
          </w:p>
        </w:tc>
        <w:tc>
          <w:tcPr>
            <w:tcW w:w="2770" w:type="dxa"/>
            <w:vMerge w:val="restart"/>
          </w:tcPr>
          <w:p w14:paraId="7D37C6E1"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Optimization of Oxone-mediated epoxidation of alkenes for a pedagogical organic laboratory</w:t>
            </w:r>
          </w:p>
        </w:tc>
        <w:tc>
          <w:tcPr>
            <w:tcW w:w="1577" w:type="dxa"/>
            <w:vMerge w:val="restart"/>
          </w:tcPr>
          <w:p w14:paraId="5FD5AD6F"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Karn, Avanya P.*, Jesse J. Perez, Sarah K. Goforth</w:t>
            </w:r>
          </w:p>
        </w:tc>
        <w:tc>
          <w:tcPr>
            <w:tcW w:w="1628" w:type="dxa"/>
            <w:vMerge w:val="restart"/>
          </w:tcPr>
          <w:p w14:paraId="236B535E"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Campbell University</w:t>
            </w:r>
          </w:p>
        </w:tc>
        <w:tc>
          <w:tcPr>
            <w:tcW w:w="1760" w:type="dxa"/>
          </w:tcPr>
          <w:p w14:paraId="676A0108"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2D4B38B1" w14:textId="77777777" w:rsidTr="00EE0810">
        <w:trPr>
          <w:trHeight w:val="424"/>
        </w:trPr>
        <w:tc>
          <w:tcPr>
            <w:tcW w:w="1615" w:type="dxa"/>
            <w:vMerge/>
          </w:tcPr>
          <w:p w14:paraId="3C45308E" w14:textId="77777777" w:rsidR="00D77FC6" w:rsidRPr="00D03374" w:rsidRDefault="00D77FC6" w:rsidP="00EE0810">
            <w:pPr>
              <w:rPr>
                <w:rFonts w:ascii="Calibri" w:hAnsi="Calibri" w:cs="Calibri"/>
                <w:sz w:val="18"/>
                <w:szCs w:val="18"/>
              </w:rPr>
            </w:pPr>
          </w:p>
        </w:tc>
        <w:tc>
          <w:tcPr>
            <w:tcW w:w="2770" w:type="dxa"/>
            <w:vMerge/>
          </w:tcPr>
          <w:p w14:paraId="45648B22" w14:textId="77777777" w:rsidR="00D77FC6" w:rsidRPr="00D03374" w:rsidRDefault="00D77FC6" w:rsidP="00EE0810">
            <w:pPr>
              <w:rPr>
                <w:rFonts w:ascii="Calibri" w:hAnsi="Calibri" w:cs="Calibri"/>
                <w:sz w:val="18"/>
                <w:szCs w:val="18"/>
              </w:rPr>
            </w:pPr>
          </w:p>
        </w:tc>
        <w:tc>
          <w:tcPr>
            <w:tcW w:w="1577" w:type="dxa"/>
            <w:vMerge/>
          </w:tcPr>
          <w:p w14:paraId="3D3A5F22" w14:textId="77777777" w:rsidR="00D77FC6" w:rsidRPr="00D03374" w:rsidRDefault="00D77FC6" w:rsidP="00EE0810">
            <w:pPr>
              <w:rPr>
                <w:rFonts w:ascii="Calibri" w:hAnsi="Calibri" w:cs="Calibri"/>
                <w:sz w:val="18"/>
                <w:szCs w:val="18"/>
              </w:rPr>
            </w:pPr>
          </w:p>
        </w:tc>
        <w:tc>
          <w:tcPr>
            <w:tcW w:w="1628" w:type="dxa"/>
            <w:vMerge/>
          </w:tcPr>
          <w:p w14:paraId="036075A5" w14:textId="77777777" w:rsidR="00D77FC6" w:rsidRPr="00D03374" w:rsidRDefault="00D77FC6" w:rsidP="00EE0810">
            <w:pPr>
              <w:rPr>
                <w:rFonts w:ascii="Calibri" w:hAnsi="Calibri" w:cs="Calibri"/>
                <w:sz w:val="18"/>
                <w:szCs w:val="18"/>
              </w:rPr>
            </w:pPr>
          </w:p>
        </w:tc>
        <w:tc>
          <w:tcPr>
            <w:tcW w:w="1760" w:type="dxa"/>
          </w:tcPr>
          <w:p w14:paraId="268DE9B3"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r w:rsidR="00D77FC6" w:rsidRPr="00D03374" w14:paraId="2FCC3307" w14:textId="77777777" w:rsidTr="00EE0810">
        <w:trPr>
          <w:trHeight w:val="425"/>
        </w:trPr>
        <w:tc>
          <w:tcPr>
            <w:tcW w:w="1615" w:type="dxa"/>
            <w:vMerge w:val="restart"/>
          </w:tcPr>
          <w:p w14:paraId="39CAAEC6"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P-28</w:t>
            </w:r>
          </w:p>
        </w:tc>
        <w:tc>
          <w:tcPr>
            <w:tcW w:w="2770" w:type="dxa"/>
            <w:vMerge w:val="restart"/>
          </w:tcPr>
          <w:p w14:paraId="2F9FBEEB"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Oxidation Ring-fused Pyrroles to access Novel Lactones and Imides</w:t>
            </w:r>
          </w:p>
        </w:tc>
        <w:tc>
          <w:tcPr>
            <w:tcW w:w="1577" w:type="dxa"/>
            <w:vMerge w:val="restart"/>
          </w:tcPr>
          <w:p w14:paraId="1E6C00CF"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Matthew Martinez*, Francisco D. Grandecortes,  and Sezgin Kiren</w:t>
            </w:r>
          </w:p>
        </w:tc>
        <w:tc>
          <w:tcPr>
            <w:tcW w:w="1628" w:type="dxa"/>
            <w:vMerge w:val="restart"/>
          </w:tcPr>
          <w:p w14:paraId="3067CAF5"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18E1F6F7"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42C7E7E5" w14:textId="77777777" w:rsidTr="00EE0810">
        <w:trPr>
          <w:trHeight w:val="424"/>
        </w:trPr>
        <w:tc>
          <w:tcPr>
            <w:tcW w:w="1615" w:type="dxa"/>
            <w:vMerge/>
          </w:tcPr>
          <w:p w14:paraId="47CE7074" w14:textId="77777777" w:rsidR="00D77FC6" w:rsidRPr="00D03374" w:rsidRDefault="00D77FC6" w:rsidP="00EE0810">
            <w:pPr>
              <w:rPr>
                <w:rFonts w:ascii="Calibri" w:hAnsi="Calibri" w:cs="Calibri"/>
                <w:sz w:val="18"/>
                <w:szCs w:val="18"/>
              </w:rPr>
            </w:pPr>
          </w:p>
        </w:tc>
        <w:tc>
          <w:tcPr>
            <w:tcW w:w="2770" w:type="dxa"/>
            <w:vMerge/>
          </w:tcPr>
          <w:p w14:paraId="55BCF4F8" w14:textId="77777777" w:rsidR="00D77FC6" w:rsidRPr="00D03374" w:rsidRDefault="00D77FC6" w:rsidP="00EE0810">
            <w:pPr>
              <w:rPr>
                <w:rFonts w:ascii="Calibri" w:hAnsi="Calibri" w:cs="Calibri"/>
                <w:sz w:val="18"/>
                <w:szCs w:val="18"/>
              </w:rPr>
            </w:pPr>
          </w:p>
        </w:tc>
        <w:tc>
          <w:tcPr>
            <w:tcW w:w="1577" w:type="dxa"/>
            <w:vMerge/>
          </w:tcPr>
          <w:p w14:paraId="4D0EBE56" w14:textId="77777777" w:rsidR="00D77FC6" w:rsidRPr="00D03374" w:rsidRDefault="00D77FC6" w:rsidP="00EE0810">
            <w:pPr>
              <w:rPr>
                <w:rFonts w:ascii="Calibri" w:hAnsi="Calibri" w:cs="Calibri"/>
                <w:sz w:val="18"/>
                <w:szCs w:val="18"/>
              </w:rPr>
            </w:pPr>
          </w:p>
        </w:tc>
        <w:tc>
          <w:tcPr>
            <w:tcW w:w="1628" w:type="dxa"/>
            <w:vMerge/>
          </w:tcPr>
          <w:p w14:paraId="49A8C6D4" w14:textId="77777777" w:rsidR="00D77FC6" w:rsidRPr="00D03374" w:rsidRDefault="00D77FC6" w:rsidP="00EE0810">
            <w:pPr>
              <w:rPr>
                <w:rFonts w:ascii="Calibri" w:hAnsi="Calibri" w:cs="Calibri"/>
                <w:sz w:val="18"/>
                <w:szCs w:val="18"/>
              </w:rPr>
            </w:pPr>
          </w:p>
        </w:tc>
        <w:tc>
          <w:tcPr>
            <w:tcW w:w="1760" w:type="dxa"/>
          </w:tcPr>
          <w:p w14:paraId="6AE087D5"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r w:rsidR="00D77FC6" w:rsidRPr="00D03374" w14:paraId="0D9F516F" w14:textId="77777777" w:rsidTr="00EE0810">
        <w:trPr>
          <w:trHeight w:val="425"/>
        </w:trPr>
        <w:tc>
          <w:tcPr>
            <w:tcW w:w="1615" w:type="dxa"/>
            <w:vMerge w:val="restart"/>
          </w:tcPr>
          <w:p w14:paraId="0A181D3A"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P-29</w:t>
            </w:r>
          </w:p>
        </w:tc>
        <w:tc>
          <w:tcPr>
            <w:tcW w:w="2770" w:type="dxa"/>
            <w:vMerge w:val="restart"/>
          </w:tcPr>
          <w:p w14:paraId="5A25F62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Tandem Heck-intramolecular cyclization to indoles catalyzed by palladium nanoparticles supported on multi-walled carbon nanotubes</w:t>
            </w:r>
          </w:p>
        </w:tc>
        <w:tc>
          <w:tcPr>
            <w:tcW w:w="1577" w:type="dxa"/>
            <w:vMerge w:val="restart"/>
          </w:tcPr>
          <w:p w14:paraId="7D6176A8"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Estes-Webb, Zoie*, Ali R. Siamaki</w:t>
            </w:r>
          </w:p>
        </w:tc>
        <w:tc>
          <w:tcPr>
            <w:tcW w:w="1628" w:type="dxa"/>
            <w:vMerge w:val="restart"/>
          </w:tcPr>
          <w:p w14:paraId="1F11FD3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Fayetteville State University</w:t>
            </w:r>
          </w:p>
        </w:tc>
        <w:tc>
          <w:tcPr>
            <w:tcW w:w="1760" w:type="dxa"/>
          </w:tcPr>
          <w:p w14:paraId="102C46A8"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11DE98F8" w14:textId="77777777" w:rsidTr="00EE0810">
        <w:trPr>
          <w:trHeight w:val="424"/>
        </w:trPr>
        <w:tc>
          <w:tcPr>
            <w:tcW w:w="1615" w:type="dxa"/>
            <w:vMerge/>
          </w:tcPr>
          <w:p w14:paraId="3403BDDB" w14:textId="77777777" w:rsidR="00D77FC6" w:rsidRPr="00D03374" w:rsidRDefault="00D77FC6" w:rsidP="00EE0810">
            <w:pPr>
              <w:rPr>
                <w:rFonts w:ascii="Calibri" w:hAnsi="Calibri" w:cs="Calibri"/>
                <w:sz w:val="18"/>
                <w:szCs w:val="18"/>
              </w:rPr>
            </w:pPr>
          </w:p>
        </w:tc>
        <w:tc>
          <w:tcPr>
            <w:tcW w:w="2770" w:type="dxa"/>
            <w:vMerge/>
          </w:tcPr>
          <w:p w14:paraId="0E974CAF" w14:textId="77777777" w:rsidR="00D77FC6" w:rsidRPr="00D03374" w:rsidRDefault="00D77FC6" w:rsidP="00EE0810">
            <w:pPr>
              <w:rPr>
                <w:rFonts w:ascii="Calibri" w:hAnsi="Calibri" w:cs="Calibri"/>
                <w:sz w:val="18"/>
                <w:szCs w:val="18"/>
              </w:rPr>
            </w:pPr>
          </w:p>
        </w:tc>
        <w:tc>
          <w:tcPr>
            <w:tcW w:w="1577" w:type="dxa"/>
            <w:vMerge/>
          </w:tcPr>
          <w:p w14:paraId="5D658C0C" w14:textId="77777777" w:rsidR="00D77FC6" w:rsidRPr="00D03374" w:rsidRDefault="00D77FC6" w:rsidP="00EE0810">
            <w:pPr>
              <w:rPr>
                <w:rFonts w:ascii="Calibri" w:hAnsi="Calibri" w:cs="Calibri"/>
                <w:sz w:val="18"/>
                <w:szCs w:val="18"/>
              </w:rPr>
            </w:pPr>
          </w:p>
        </w:tc>
        <w:tc>
          <w:tcPr>
            <w:tcW w:w="1628" w:type="dxa"/>
            <w:vMerge/>
          </w:tcPr>
          <w:p w14:paraId="1BBA8439" w14:textId="77777777" w:rsidR="00D77FC6" w:rsidRPr="00D03374" w:rsidRDefault="00D77FC6" w:rsidP="00EE0810">
            <w:pPr>
              <w:rPr>
                <w:rFonts w:ascii="Calibri" w:hAnsi="Calibri" w:cs="Calibri"/>
                <w:sz w:val="18"/>
                <w:szCs w:val="18"/>
              </w:rPr>
            </w:pPr>
          </w:p>
        </w:tc>
        <w:tc>
          <w:tcPr>
            <w:tcW w:w="1760" w:type="dxa"/>
          </w:tcPr>
          <w:p w14:paraId="5D6F4CB5"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No</w:t>
            </w:r>
          </w:p>
        </w:tc>
      </w:tr>
      <w:tr w:rsidR="00D77FC6" w:rsidRPr="00D03374" w14:paraId="3EB8EB0A" w14:textId="77777777" w:rsidTr="00EE0810">
        <w:trPr>
          <w:trHeight w:val="425"/>
        </w:trPr>
        <w:tc>
          <w:tcPr>
            <w:tcW w:w="1615" w:type="dxa"/>
            <w:vMerge w:val="restart"/>
          </w:tcPr>
          <w:p w14:paraId="239F1413"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P-30</w:t>
            </w:r>
          </w:p>
        </w:tc>
        <w:tc>
          <w:tcPr>
            <w:tcW w:w="2770" w:type="dxa"/>
            <w:vMerge w:val="restart"/>
          </w:tcPr>
          <w:p w14:paraId="28D1D64D"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Synthesis of Novel Indolizines for Regenerative Medicine</w:t>
            </w:r>
          </w:p>
        </w:tc>
        <w:tc>
          <w:tcPr>
            <w:tcW w:w="1577" w:type="dxa"/>
            <w:vMerge w:val="restart"/>
          </w:tcPr>
          <w:p w14:paraId="151700B2"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Fulp, Kalysia A.*, Aisha Yakubu, Francisco D. Grandecortes, Sezgin Kiren</w:t>
            </w:r>
          </w:p>
        </w:tc>
        <w:tc>
          <w:tcPr>
            <w:tcW w:w="1628" w:type="dxa"/>
            <w:vMerge w:val="restart"/>
          </w:tcPr>
          <w:p w14:paraId="2E827366"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5D91D583"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6CEE4D1B" w14:textId="77777777" w:rsidTr="00EE0810">
        <w:trPr>
          <w:trHeight w:val="424"/>
        </w:trPr>
        <w:tc>
          <w:tcPr>
            <w:tcW w:w="1615" w:type="dxa"/>
            <w:vMerge/>
          </w:tcPr>
          <w:p w14:paraId="571DC06A" w14:textId="77777777" w:rsidR="00D77FC6" w:rsidRPr="00D03374" w:rsidRDefault="00D77FC6" w:rsidP="00EE0810">
            <w:pPr>
              <w:rPr>
                <w:rFonts w:ascii="Calibri" w:hAnsi="Calibri" w:cs="Calibri"/>
                <w:sz w:val="18"/>
                <w:szCs w:val="18"/>
              </w:rPr>
            </w:pPr>
          </w:p>
        </w:tc>
        <w:tc>
          <w:tcPr>
            <w:tcW w:w="2770" w:type="dxa"/>
            <w:vMerge/>
          </w:tcPr>
          <w:p w14:paraId="2B6B7DEC" w14:textId="77777777" w:rsidR="00D77FC6" w:rsidRPr="00D03374" w:rsidRDefault="00D77FC6" w:rsidP="00EE0810">
            <w:pPr>
              <w:rPr>
                <w:rFonts w:ascii="Calibri" w:hAnsi="Calibri" w:cs="Calibri"/>
                <w:sz w:val="18"/>
                <w:szCs w:val="18"/>
              </w:rPr>
            </w:pPr>
          </w:p>
        </w:tc>
        <w:tc>
          <w:tcPr>
            <w:tcW w:w="1577" w:type="dxa"/>
            <w:vMerge/>
          </w:tcPr>
          <w:p w14:paraId="55CA9149" w14:textId="77777777" w:rsidR="00D77FC6" w:rsidRPr="00D03374" w:rsidRDefault="00D77FC6" w:rsidP="00EE0810">
            <w:pPr>
              <w:rPr>
                <w:rFonts w:ascii="Calibri" w:hAnsi="Calibri" w:cs="Calibri"/>
                <w:sz w:val="18"/>
                <w:szCs w:val="18"/>
              </w:rPr>
            </w:pPr>
          </w:p>
        </w:tc>
        <w:tc>
          <w:tcPr>
            <w:tcW w:w="1628" w:type="dxa"/>
            <w:vMerge/>
          </w:tcPr>
          <w:p w14:paraId="57349375" w14:textId="77777777" w:rsidR="00D77FC6" w:rsidRPr="00D03374" w:rsidRDefault="00D77FC6" w:rsidP="00EE0810">
            <w:pPr>
              <w:rPr>
                <w:rFonts w:ascii="Calibri" w:hAnsi="Calibri" w:cs="Calibri"/>
                <w:sz w:val="18"/>
                <w:szCs w:val="18"/>
              </w:rPr>
            </w:pPr>
          </w:p>
        </w:tc>
        <w:tc>
          <w:tcPr>
            <w:tcW w:w="1760" w:type="dxa"/>
          </w:tcPr>
          <w:p w14:paraId="1709C59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r w:rsidR="00D77FC6" w:rsidRPr="00D03374" w14:paraId="6470EAD6" w14:textId="77777777" w:rsidTr="00EE0810">
        <w:trPr>
          <w:trHeight w:val="425"/>
        </w:trPr>
        <w:tc>
          <w:tcPr>
            <w:tcW w:w="1615" w:type="dxa"/>
            <w:vMerge w:val="restart"/>
          </w:tcPr>
          <w:p w14:paraId="0D10EC70"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P-31</w:t>
            </w:r>
          </w:p>
        </w:tc>
        <w:tc>
          <w:tcPr>
            <w:tcW w:w="2770" w:type="dxa"/>
            <w:vMerge w:val="restart"/>
          </w:tcPr>
          <w:p w14:paraId="5D4B4041"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Order Matters: Sequence-Dependent Effects of Methotrexate and JQ1 in Oral Squamous Cell Carcinoma</w:t>
            </w:r>
          </w:p>
        </w:tc>
        <w:tc>
          <w:tcPr>
            <w:tcW w:w="1577" w:type="dxa"/>
            <w:vMerge w:val="restart"/>
          </w:tcPr>
          <w:p w14:paraId="2AECE6F7"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Tanner, Reagan*, Mary McManamy</w:t>
            </w:r>
          </w:p>
        </w:tc>
        <w:tc>
          <w:tcPr>
            <w:tcW w:w="1628" w:type="dxa"/>
            <w:vMerge w:val="restart"/>
          </w:tcPr>
          <w:p w14:paraId="5D65540A"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1355FA53"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6F66BEE0" w14:textId="77777777" w:rsidTr="00EE0810">
        <w:trPr>
          <w:trHeight w:val="424"/>
        </w:trPr>
        <w:tc>
          <w:tcPr>
            <w:tcW w:w="1615" w:type="dxa"/>
            <w:vMerge/>
          </w:tcPr>
          <w:p w14:paraId="5AEE05C8" w14:textId="77777777" w:rsidR="00D77FC6" w:rsidRPr="00D03374" w:rsidRDefault="00D77FC6" w:rsidP="00EE0810">
            <w:pPr>
              <w:rPr>
                <w:rFonts w:ascii="Calibri" w:hAnsi="Calibri" w:cs="Calibri"/>
                <w:sz w:val="18"/>
                <w:szCs w:val="18"/>
              </w:rPr>
            </w:pPr>
          </w:p>
        </w:tc>
        <w:tc>
          <w:tcPr>
            <w:tcW w:w="2770" w:type="dxa"/>
            <w:vMerge/>
          </w:tcPr>
          <w:p w14:paraId="7860B506" w14:textId="77777777" w:rsidR="00D77FC6" w:rsidRPr="00D03374" w:rsidRDefault="00D77FC6" w:rsidP="00EE0810">
            <w:pPr>
              <w:rPr>
                <w:rFonts w:ascii="Calibri" w:hAnsi="Calibri" w:cs="Calibri"/>
                <w:sz w:val="18"/>
                <w:szCs w:val="18"/>
              </w:rPr>
            </w:pPr>
          </w:p>
        </w:tc>
        <w:tc>
          <w:tcPr>
            <w:tcW w:w="1577" w:type="dxa"/>
            <w:vMerge/>
          </w:tcPr>
          <w:p w14:paraId="310DB28C" w14:textId="77777777" w:rsidR="00D77FC6" w:rsidRPr="00D03374" w:rsidRDefault="00D77FC6" w:rsidP="00EE0810">
            <w:pPr>
              <w:rPr>
                <w:rFonts w:ascii="Calibri" w:hAnsi="Calibri" w:cs="Calibri"/>
                <w:sz w:val="18"/>
                <w:szCs w:val="18"/>
              </w:rPr>
            </w:pPr>
          </w:p>
        </w:tc>
        <w:tc>
          <w:tcPr>
            <w:tcW w:w="1628" w:type="dxa"/>
            <w:vMerge/>
          </w:tcPr>
          <w:p w14:paraId="75877900" w14:textId="77777777" w:rsidR="00D77FC6" w:rsidRPr="00D03374" w:rsidRDefault="00D77FC6" w:rsidP="00EE0810">
            <w:pPr>
              <w:rPr>
                <w:rFonts w:ascii="Calibri" w:hAnsi="Calibri" w:cs="Calibri"/>
                <w:sz w:val="18"/>
                <w:szCs w:val="18"/>
              </w:rPr>
            </w:pPr>
          </w:p>
        </w:tc>
        <w:tc>
          <w:tcPr>
            <w:tcW w:w="1760" w:type="dxa"/>
          </w:tcPr>
          <w:p w14:paraId="6939F487"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r w:rsidR="00D77FC6" w:rsidRPr="00D03374" w14:paraId="08C74532" w14:textId="77777777" w:rsidTr="00EE0810">
        <w:trPr>
          <w:trHeight w:val="425"/>
        </w:trPr>
        <w:tc>
          <w:tcPr>
            <w:tcW w:w="1615" w:type="dxa"/>
            <w:vMerge w:val="restart"/>
          </w:tcPr>
          <w:p w14:paraId="53B57D6D"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P-32</w:t>
            </w:r>
          </w:p>
        </w:tc>
        <w:tc>
          <w:tcPr>
            <w:tcW w:w="2770" w:type="dxa"/>
            <w:vMerge w:val="restart"/>
          </w:tcPr>
          <w:p w14:paraId="7499A7B8"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Enhancing chemotherapeutic synergy in oral squamous cell carcinoma using melittin</w:t>
            </w:r>
          </w:p>
        </w:tc>
        <w:tc>
          <w:tcPr>
            <w:tcW w:w="1577" w:type="dxa"/>
            <w:vMerge w:val="restart"/>
          </w:tcPr>
          <w:p w14:paraId="45C437FA"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Wall, Sophia*, McManamy, Mary</w:t>
            </w:r>
          </w:p>
        </w:tc>
        <w:tc>
          <w:tcPr>
            <w:tcW w:w="1628" w:type="dxa"/>
            <w:vMerge w:val="restart"/>
          </w:tcPr>
          <w:p w14:paraId="13A44EA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216A5EE5"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5806AD67" w14:textId="77777777" w:rsidTr="00EE0810">
        <w:trPr>
          <w:trHeight w:val="424"/>
        </w:trPr>
        <w:tc>
          <w:tcPr>
            <w:tcW w:w="1615" w:type="dxa"/>
            <w:vMerge/>
          </w:tcPr>
          <w:p w14:paraId="5FB64603" w14:textId="77777777" w:rsidR="00D77FC6" w:rsidRPr="00D03374" w:rsidRDefault="00D77FC6" w:rsidP="00EE0810">
            <w:pPr>
              <w:rPr>
                <w:rFonts w:ascii="Calibri" w:hAnsi="Calibri" w:cs="Calibri"/>
                <w:sz w:val="18"/>
                <w:szCs w:val="18"/>
              </w:rPr>
            </w:pPr>
          </w:p>
        </w:tc>
        <w:tc>
          <w:tcPr>
            <w:tcW w:w="2770" w:type="dxa"/>
            <w:vMerge/>
          </w:tcPr>
          <w:p w14:paraId="6EA8B96E" w14:textId="77777777" w:rsidR="00D77FC6" w:rsidRPr="00D03374" w:rsidRDefault="00D77FC6" w:rsidP="00EE0810">
            <w:pPr>
              <w:rPr>
                <w:rFonts w:ascii="Calibri" w:hAnsi="Calibri" w:cs="Calibri"/>
                <w:sz w:val="18"/>
                <w:szCs w:val="18"/>
              </w:rPr>
            </w:pPr>
          </w:p>
        </w:tc>
        <w:tc>
          <w:tcPr>
            <w:tcW w:w="1577" w:type="dxa"/>
            <w:vMerge/>
          </w:tcPr>
          <w:p w14:paraId="59DE90B8" w14:textId="77777777" w:rsidR="00D77FC6" w:rsidRPr="00D03374" w:rsidRDefault="00D77FC6" w:rsidP="00EE0810">
            <w:pPr>
              <w:rPr>
                <w:rFonts w:ascii="Calibri" w:hAnsi="Calibri" w:cs="Calibri"/>
                <w:sz w:val="18"/>
                <w:szCs w:val="18"/>
              </w:rPr>
            </w:pPr>
          </w:p>
        </w:tc>
        <w:tc>
          <w:tcPr>
            <w:tcW w:w="1628" w:type="dxa"/>
            <w:vMerge/>
          </w:tcPr>
          <w:p w14:paraId="4A62C214" w14:textId="77777777" w:rsidR="00D77FC6" w:rsidRPr="00D03374" w:rsidRDefault="00D77FC6" w:rsidP="00EE0810">
            <w:pPr>
              <w:rPr>
                <w:rFonts w:ascii="Calibri" w:hAnsi="Calibri" w:cs="Calibri"/>
                <w:sz w:val="18"/>
                <w:szCs w:val="18"/>
              </w:rPr>
            </w:pPr>
          </w:p>
        </w:tc>
        <w:tc>
          <w:tcPr>
            <w:tcW w:w="1760" w:type="dxa"/>
          </w:tcPr>
          <w:p w14:paraId="49BC4DEF"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No</w:t>
            </w:r>
          </w:p>
        </w:tc>
      </w:tr>
      <w:tr w:rsidR="00D77FC6" w:rsidRPr="00D03374" w14:paraId="294EB7EE" w14:textId="77777777" w:rsidTr="00EE0810">
        <w:trPr>
          <w:trHeight w:val="425"/>
        </w:trPr>
        <w:tc>
          <w:tcPr>
            <w:tcW w:w="1615" w:type="dxa"/>
            <w:vMerge w:val="restart"/>
          </w:tcPr>
          <w:p w14:paraId="1337319F"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P-33</w:t>
            </w:r>
          </w:p>
        </w:tc>
        <w:tc>
          <w:tcPr>
            <w:tcW w:w="2770" w:type="dxa"/>
            <w:vMerge w:val="restart"/>
          </w:tcPr>
          <w:p w14:paraId="47775523"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Efficient Solution-Phase Synthesis of the DNA Fluoropyrimidine Polymer CF10 using MPEG5000</w:t>
            </w:r>
          </w:p>
        </w:tc>
        <w:tc>
          <w:tcPr>
            <w:tcW w:w="1577" w:type="dxa"/>
            <w:vMerge w:val="restart"/>
          </w:tcPr>
          <w:p w14:paraId="4809F848"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Grandecortes, F. D.*, Olcay Boyacioglu, Alex Chavez, Sezgin Kiren, William H, Gmeiner</w:t>
            </w:r>
          </w:p>
        </w:tc>
        <w:tc>
          <w:tcPr>
            <w:tcW w:w="1628" w:type="dxa"/>
            <w:vMerge w:val="restart"/>
          </w:tcPr>
          <w:p w14:paraId="4186B075"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Winston Salem State University and Wake Forest University</w:t>
            </w:r>
          </w:p>
        </w:tc>
        <w:tc>
          <w:tcPr>
            <w:tcW w:w="1760" w:type="dxa"/>
          </w:tcPr>
          <w:p w14:paraId="672C4B3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672DCACC" w14:textId="77777777" w:rsidTr="00EE0810">
        <w:trPr>
          <w:trHeight w:val="424"/>
        </w:trPr>
        <w:tc>
          <w:tcPr>
            <w:tcW w:w="1615" w:type="dxa"/>
            <w:vMerge/>
          </w:tcPr>
          <w:p w14:paraId="4BF2E05B" w14:textId="77777777" w:rsidR="00D77FC6" w:rsidRPr="00D03374" w:rsidRDefault="00D77FC6" w:rsidP="00EE0810">
            <w:pPr>
              <w:rPr>
                <w:rFonts w:ascii="Calibri" w:hAnsi="Calibri" w:cs="Calibri"/>
                <w:sz w:val="18"/>
                <w:szCs w:val="18"/>
              </w:rPr>
            </w:pPr>
          </w:p>
        </w:tc>
        <w:tc>
          <w:tcPr>
            <w:tcW w:w="2770" w:type="dxa"/>
            <w:vMerge/>
          </w:tcPr>
          <w:p w14:paraId="3F95D40E" w14:textId="77777777" w:rsidR="00D77FC6" w:rsidRPr="00D03374" w:rsidRDefault="00D77FC6" w:rsidP="00EE0810">
            <w:pPr>
              <w:rPr>
                <w:rFonts w:ascii="Calibri" w:hAnsi="Calibri" w:cs="Calibri"/>
                <w:sz w:val="18"/>
                <w:szCs w:val="18"/>
              </w:rPr>
            </w:pPr>
          </w:p>
        </w:tc>
        <w:tc>
          <w:tcPr>
            <w:tcW w:w="1577" w:type="dxa"/>
            <w:vMerge/>
          </w:tcPr>
          <w:p w14:paraId="71F5047C" w14:textId="77777777" w:rsidR="00D77FC6" w:rsidRPr="00D03374" w:rsidRDefault="00D77FC6" w:rsidP="00EE0810">
            <w:pPr>
              <w:rPr>
                <w:rFonts w:ascii="Calibri" w:hAnsi="Calibri" w:cs="Calibri"/>
                <w:sz w:val="18"/>
                <w:szCs w:val="18"/>
              </w:rPr>
            </w:pPr>
          </w:p>
        </w:tc>
        <w:tc>
          <w:tcPr>
            <w:tcW w:w="1628" w:type="dxa"/>
            <w:vMerge/>
          </w:tcPr>
          <w:p w14:paraId="5FB9FC5C" w14:textId="77777777" w:rsidR="00D77FC6" w:rsidRPr="00D03374" w:rsidRDefault="00D77FC6" w:rsidP="00EE0810">
            <w:pPr>
              <w:rPr>
                <w:rFonts w:ascii="Calibri" w:hAnsi="Calibri" w:cs="Calibri"/>
                <w:sz w:val="18"/>
                <w:szCs w:val="18"/>
              </w:rPr>
            </w:pPr>
          </w:p>
        </w:tc>
        <w:tc>
          <w:tcPr>
            <w:tcW w:w="1760" w:type="dxa"/>
          </w:tcPr>
          <w:p w14:paraId="7D13443D"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r w:rsidR="00D77FC6" w:rsidRPr="00D03374" w14:paraId="7CD0CD12" w14:textId="77777777" w:rsidTr="00EE0810">
        <w:trPr>
          <w:trHeight w:val="425"/>
        </w:trPr>
        <w:tc>
          <w:tcPr>
            <w:tcW w:w="1615" w:type="dxa"/>
            <w:vMerge w:val="restart"/>
          </w:tcPr>
          <w:p w14:paraId="62C9F103" w14:textId="77777777" w:rsidR="00D77FC6" w:rsidRPr="00D03374" w:rsidRDefault="00D77FC6" w:rsidP="00EE0810">
            <w:pPr>
              <w:rPr>
                <w:rFonts w:ascii="Calibri" w:hAnsi="Calibri" w:cs="Calibri"/>
                <w:noProof/>
                <w:sz w:val="18"/>
                <w:szCs w:val="18"/>
              </w:rPr>
            </w:pPr>
            <w:r w:rsidRPr="00F6547B">
              <w:rPr>
                <w:rFonts w:ascii="Calibri" w:hAnsi="Calibri" w:cs="Calibri"/>
                <w:noProof/>
                <w:sz w:val="18"/>
                <w:szCs w:val="18"/>
              </w:rPr>
              <w:t>P-34</w:t>
            </w:r>
          </w:p>
        </w:tc>
        <w:tc>
          <w:tcPr>
            <w:tcW w:w="2770" w:type="dxa"/>
            <w:vMerge w:val="restart"/>
          </w:tcPr>
          <w:p w14:paraId="782FF86C"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Characterization of superconducting materials in cryogenic systems</w:t>
            </w:r>
          </w:p>
        </w:tc>
        <w:tc>
          <w:tcPr>
            <w:tcW w:w="1577" w:type="dxa"/>
            <w:vMerge w:val="restart"/>
          </w:tcPr>
          <w:p w14:paraId="635A3C7F"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Asher Brown*, KaMora Wilson, Bryce Williams, Ariell King, and John T. Yi</w:t>
            </w:r>
          </w:p>
        </w:tc>
        <w:tc>
          <w:tcPr>
            <w:tcW w:w="1628" w:type="dxa"/>
            <w:vMerge w:val="restart"/>
          </w:tcPr>
          <w:p w14:paraId="17CFB852"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Winston-Salem State University</w:t>
            </w:r>
          </w:p>
        </w:tc>
        <w:tc>
          <w:tcPr>
            <w:tcW w:w="1760" w:type="dxa"/>
          </w:tcPr>
          <w:p w14:paraId="16DECFA6"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6:00-6:45 PM</w:t>
            </w:r>
          </w:p>
        </w:tc>
      </w:tr>
      <w:tr w:rsidR="00D77FC6" w:rsidRPr="00D03374" w14:paraId="16FDFDB2" w14:textId="77777777" w:rsidTr="00EE0810">
        <w:trPr>
          <w:trHeight w:val="424"/>
        </w:trPr>
        <w:tc>
          <w:tcPr>
            <w:tcW w:w="1615" w:type="dxa"/>
            <w:vMerge/>
          </w:tcPr>
          <w:p w14:paraId="71582D76" w14:textId="77777777" w:rsidR="00D77FC6" w:rsidRPr="00D03374" w:rsidRDefault="00D77FC6" w:rsidP="00EE0810">
            <w:pPr>
              <w:rPr>
                <w:rFonts w:ascii="Calibri" w:hAnsi="Calibri" w:cs="Calibri"/>
                <w:sz w:val="18"/>
                <w:szCs w:val="18"/>
              </w:rPr>
            </w:pPr>
          </w:p>
        </w:tc>
        <w:tc>
          <w:tcPr>
            <w:tcW w:w="2770" w:type="dxa"/>
            <w:vMerge/>
          </w:tcPr>
          <w:p w14:paraId="5ED506DE" w14:textId="77777777" w:rsidR="00D77FC6" w:rsidRPr="00D03374" w:rsidRDefault="00D77FC6" w:rsidP="00EE0810">
            <w:pPr>
              <w:rPr>
                <w:rFonts w:ascii="Calibri" w:hAnsi="Calibri" w:cs="Calibri"/>
                <w:sz w:val="18"/>
                <w:szCs w:val="18"/>
              </w:rPr>
            </w:pPr>
          </w:p>
        </w:tc>
        <w:tc>
          <w:tcPr>
            <w:tcW w:w="1577" w:type="dxa"/>
            <w:vMerge/>
          </w:tcPr>
          <w:p w14:paraId="2D756E5B" w14:textId="77777777" w:rsidR="00D77FC6" w:rsidRPr="00D03374" w:rsidRDefault="00D77FC6" w:rsidP="00EE0810">
            <w:pPr>
              <w:rPr>
                <w:rFonts w:ascii="Calibri" w:hAnsi="Calibri" w:cs="Calibri"/>
                <w:sz w:val="18"/>
                <w:szCs w:val="18"/>
              </w:rPr>
            </w:pPr>
          </w:p>
        </w:tc>
        <w:tc>
          <w:tcPr>
            <w:tcW w:w="1628" w:type="dxa"/>
            <w:vMerge/>
          </w:tcPr>
          <w:p w14:paraId="0D176EA1" w14:textId="77777777" w:rsidR="00D77FC6" w:rsidRPr="00D03374" w:rsidRDefault="00D77FC6" w:rsidP="00EE0810">
            <w:pPr>
              <w:rPr>
                <w:rFonts w:ascii="Calibri" w:hAnsi="Calibri" w:cs="Calibri"/>
                <w:sz w:val="18"/>
                <w:szCs w:val="18"/>
              </w:rPr>
            </w:pPr>
          </w:p>
        </w:tc>
        <w:tc>
          <w:tcPr>
            <w:tcW w:w="1760" w:type="dxa"/>
          </w:tcPr>
          <w:p w14:paraId="56FBDA99" w14:textId="77777777" w:rsidR="00D77FC6" w:rsidRPr="00D03374" w:rsidRDefault="00D77FC6" w:rsidP="00EE0810">
            <w:pPr>
              <w:rPr>
                <w:rFonts w:ascii="Calibri" w:hAnsi="Calibri" w:cs="Calibri"/>
                <w:sz w:val="18"/>
                <w:szCs w:val="18"/>
              </w:rPr>
            </w:pPr>
            <w:r w:rsidRPr="00F6547B">
              <w:rPr>
                <w:rFonts w:ascii="Calibri" w:hAnsi="Calibri" w:cs="Calibri"/>
                <w:noProof/>
                <w:sz w:val="18"/>
                <w:szCs w:val="18"/>
              </w:rPr>
              <w:t>Yes</w:t>
            </w:r>
          </w:p>
        </w:tc>
      </w:tr>
    </w:tbl>
    <w:p w14:paraId="727CB1EC" w14:textId="77777777" w:rsidR="002114D5" w:rsidRDefault="002114D5" w:rsidP="002114D5">
      <w:pPr>
        <w:jc w:val="center"/>
      </w:pPr>
      <w:hyperlink w:anchor="TableofContents" w:history="1">
        <w:r w:rsidRPr="00B051AC">
          <w:rPr>
            <w:rStyle w:val="Hyperlink"/>
            <w:rFonts w:ascii="Calibri" w:hAnsi="Calibri" w:cs="Calibri"/>
            <w:b/>
            <w:bCs/>
            <w:kern w:val="0"/>
            <w:sz w:val="22"/>
            <w:szCs w:val="22"/>
          </w:rPr>
          <w:t>Return to Table of Contents</w:t>
        </w:r>
      </w:hyperlink>
    </w:p>
    <w:p w14:paraId="00A58E90" w14:textId="77777777" w:rsidR="00CD76C4" w:rsidRDefault="00CD76C4" w:rsidP="002114D5">
      <w:pPr>
        <w:jc w:val="center"/>
      </w:pPr>
    </w:p>
    <w:p w14:paraId="3C62AFE4" w14:textId="77777777" w:rsidR="00CD76C4" w:rsidRDefault="00CD76C4" w:rsidP="002114D5">
      <w:pPr>
        <w:jc w:val="center"/>
      </w:pPr>
    </w:p>
    <w:p w14:paraId="4AB2561B" w14:textId="77777777" w:rsidR="00CD76C4" w:rsidRDefault="00CD76C4" w:rsidP="002114D5">
      <w:pPr>
        <w:jc w:val="center"/>
      </w:pPr>
    </w:p>
    <w:p w14:paraId="6A323B57" w14:textId="77777777" w:rsidR="00CD76C4" w:rsidRDefault="00CD76C4" w:rsidP="002114D5">
      <w:pPr>
        <w:jc w:val="center"/>
      </w:pPr>
    </w:p>
    <w:p w14:paraId="489B210D" w14:textId="77777777" w:rsidR="00CD76C4" w:rsidRPr="00B051AC" w:rsidRDefault="00CD76C4" w:rsidP="002114D5">
      <w:pPr>
        <w:jc w:val="center"/>
        <w:rPr>
          <w:rFonts w:ascii="Calibri" w:hAnsi="Calibri" w:cs="Calibri"/>
          <w:b/>
          <w:bCs/>
          <w:color w:val="000000"/>
          <w:kern w:val="0"/>
          <w:sz w:val="22"/>
          <w:szCs w:val="22"/>
        </w:rPr>
      </w:pPr>
    </w:p>
    <w:tbl>
      <w:tblPr>
        <w:tblStyle w:val="TableGridLight"/>
        <w:tblW w:w="9350" w:type="dxa"/>
        <w:tblLayout w:type="fixed"/>
        <w:tblLook w:val="04A0" w:firstRow="1" w:lastRow="0" w:firstColumn="1" w:lastColumn="0" w:noHBand="0" w:noVBand="1"/>
      </w:tblPr>
      <w:tblGrid>
        <w:gridCol w:w="1615"/>
        <w:gridCol w:w="2770"/>
        <w:gridCol w:w="1577"/>
        <w:gridCol w:w="1628"/>
        <w:gridCol w:w="1760"/>
      </w:tblGrid>
      <w:tr w:rsidR="00890FA4" w:rsidRPr="00D03374" w14:paraId="302C574F" w14:textId="77777777" w:rsidTr="00EE0810">
        <w:trPr>
          <w:trHeight w:val="425"/>
        </w:trPr>
        <w:tc>
          <w:tcPr>
            <w:tcW w:w="9350" w:type="dxa"/>
            <w:gridSpan w:val="5"/>
            <w:shd w:val="clear" w:color="auto" w:fill="A5C9EB" w:themeFill="text2" w:themeFillTint="40"/>
          </w:tcPr>
          <w:p w14:paraId="3DDF076B" w14:textId="77777777" w:rsidR="00890FA4" w:rsidRPr="00340E15" w:rsidRDefault="00890FA4" w:rsidP="00EE0810">
            <w:pPr>
              <w:rPr>
                <w:rFonts w:ascii="Calibri" w:hAnsi="Calibri" w:cs="Calibri"/>
                <w:noProof/>
                <w:sz w:val="28"/>
                <w:szCs w:val="28"/>
              </w:rPr>
            </w:pPr>
            <w:r>
              <w:rPr>
                <w:rFonts w:ascii="Calibri" w:hAnsi="Calibri" w:cs="Calibri"/>
                <w:noProof/>
                <w:sz w:val="28"/>
                <w:szCs w:val="28"/>
              </w:rPr>
              <w:lastRenderedPageBreak/>
              <w:t>Poster Presentations—</w:t>
            </w:r>
            <w:r w:rsidRPr="0022217A">
              <w:rPr>
                <w:rFonts w:ascii="Calibri" w:hAnsi="Calibri" w:cs="Calibri"/>
                <w:noProof/>
                <w:sz w:val="28"/>
                <w:szCs w:val="28"/>
              </w:rPr>
              <w:t>Lakeside Rooms 212, 213, and 214</w:t>
            </w:r>
            <w:r>
              <w:rPr>
                <w:rFonts w:ascii="Calibri" w:hAnsi="Calibri" w:cs="Calibri"/>
                <w:noProof/>
                <w:sz w:val="28"/>
                <w:szCs w:val="28"/>
              </w:rPr>
              <w:t xml:space="preserve">, Friday, April 24   </w:t>
            </w:r>
          </w:p>
        </w:tc>
      </w:tr>
      <w:tr w:rsidR="00890FA4" w:rsidRPr="00D03374" w14:paraId="17A1E388" w14:textId="77777777" w:rsidTr="00EE0810">
        <w:trPr>
          <w:trHeight w:hRule="exact" w:val="595"/>
        </w:trPr>
        <w:tc>
          <w:tcPr>
            <w:tcW w:w="9350" w:type="dxa"/>
            <w:gridSpan w:val="5"/>
            <w:tcBorders>
              <w:bottom w:val="single" w:sz="4" w:space="0" w:color="BFBFBF" w:themeColor="background1" w:themeShade="BF"/>
            </w:tcBorders>
            <w:shd w:val="clear" w:color="auto" w:fill="F2CEED" w:themeFill="accent5" w:themeFillTint="33"/>
          </w:tcPr>
          <w:p w14:paraId="301E3775" w14:textId="77777777" w:rsidR="00890FA4" w:rsidRDefault="00890FA4" w:rsidP="00EE0810">
            <w:pPr>
              <w:rPr>
                <w:rFonts w:ascii="Calibri" w:hAnsi="Calibri" w:cs="Calibri"/>
                <w:noProof/>
                <w:sz w:val="22"/>
                <w:szCs w:val="22"/>
              </w:rPr>
            </w:pPr>
            <w:bookmarkStart w:id="12" w:name="PosterPresentationMicroCellMolecPhysBiot" w:colFirst="0" w:colLast="0"/>
            <w:r>
              <w:rPr>
                <w:rFonts w:ascii="Calibri" w:hAnsi="Calibri" w:cs="Calibri"/>
                <w:noProof/>
                <w:sz w:val="22"/>
                <w:szCs w:val="22"/>
              </w:rPr>
              <w:t xml:space="preserve">Session 2 (6:45-7:30 PM)--Section:  </w:t>
            </w:r>
            <w:r w:rsidRPr="00D219C5">
              <w:rPr>
                <w:rFonts w:ascii="Calibri" w:hAnsi="Calibri" w:cs="Calibri"/>
                <w:noProof/>
                <w:sz w:val="22"/>
                <w:szCs w:val="22"/>
              </w:rPr>
              <w:t xml:space="preserve">Microbiology, Cell Biology, Molecular Biology, Physiology  &amp; </w:t>
            </w:r>
            <w:r>
              <w:rPr>
                <w:rFonts w:ascii="Calibri" w:hAnsi="Calibri" w:cs="Calibri"/>
                <w:noProof/>
                <w:sz w:val="22"/>
                <w:szCs w:val="22"/>
              </w:rPr>
              <w:t xml:space="preserve"> </w:t>
            </w:r>
          </w:p>
          <w:p w14:paraId="12426178" w14:textId="77777777" w:rsidR="00890FA4" w:rsidRPr="00340E15" w:rsidRDefault="00890FA4" w:rsidP="00EE0810">
            <w:pPr>
              <w:rPr>
                <w:rFonts w:ascii="Calibri" w:hAnsi="Calibri" w:cs="Calibri"/>
                <w:noProof/>
                <w:sz w:val="22"/>
                <w:szCs w:val="22"/>
              </w:rPr>
            </w:pPr>
            <w:r>
              <w:rPr>
                <w:rFonts w:ascii="Calibri" w:hAnsi="Calibri" w:cs="Calibri"/>
                <w:noProof/>
                <w:sz w:val="22"/>
                <w:szCs w:val="22"/>
              </w:rPr>
              <w:t xml:space="preserve">                                                                                   </w:t>
            </w:r>
            <w:r w:rsidRPr="00D219C5">
              <w:rPr>
                <w:rFonts w:ascii="Calibri" w:hAnsi="Calibri" w:cs="Calibri"/>
                <w:noProof/>
                <w:sz w:val="22"/>
                <w:szCs w:val="22"/>
              </w:rPr>
              <w:t>Biotechnology</w:t>
            </w:r>
          </w:p>
        </w:tc>
      </w:tr>
      <w:bookmarkEnd w:id="12"/>
      <w:tr w:rsidR="00890FA4" w:rsidRPr="00D03374" w14:paraId="401717B9" w14:textId="77777777" w:rsidTr="00EE0810">
        <w:trPr>
          <w:trHeight w:hRule="exact" w:val="288"/>
        </w:trPr>
        <w:tc>
          <w:tcPr>
            <w:tcW w:w="1615" w:type="dxa"/>
            <w:shd w:val="clear" w:color="auto" w:fill="D9F2D0" w:themeFill="accent6" w:themeFillTint="33"/>
          </w:tcPr>
          <w:p w14:paraId="38A28EF4" w14:textId="77777777" w:rsidR="00890FA4" w:rsidRDefault="00890FA4" w:rsidP="00EE0810">
            <w:pPr>
              <w:rPr>
                <w:rFonts w:ascii="Calibri" w:hAnsi="Calibri" w:cs="Calibri"/>
                <w:noProof/>
                <w:sz w:val="18"/>
                <w:szCs w:val="18"/>
              </w:rPr>
            </w:pPr>
            <w:r>
              <w:rPr>
                <w:rFonts w:ascii="Calibri" w:hAnsi="Calibri" w:cs="Calibri"/>
                <w:noProof/>
                <w:sz w:val="18"/>
                <w:szCs w:val="18"/>
              </w:rPr>
              <w:t>Poster/Abstract #</w:t>
            </w:r>
          </w:p>
          <w:p w14:paraId="4F530978" w14:textId="77777777" w:rsidR="00890FA4" w:rsidRDefault="00890FA4" w:rsidP="00EE0810">
            <w:pPr>
              <w:rPr>
                <w:rFonts w:ascii="Calibri" w:hAnsi="Calibri" w:cs="Calibri"/>
                <w:noProof/>
                <w:sz w:val="18"/>
                <w:szCs w:val="18"/>
              </w:rPr>
            </w:pPr>
          </w:p>
        </w:tc>
        <w:tc>
          <w:tcPr>
            <w:tcW w:w="2770" w:type="dxa"/>
            <w:shd w:val="clear" w:color="auto" w:fill="D9F2D0" w:themeFill="accent6" w:themeFillTint="33"/>
          </w:tcPr>
          <w:p w14:paraId="3F9F30D6" w14:textId="77777777" w:rsidR="00890FA4" w:rsidRPr="00D03374" w:rsidRDefault="00890FA4" w:rsidP="00EE0810">
            <w:pPr>
              <w:rPr>
                <w:rFonts w:ascii="Calibri" w:hAnsi="Calibri" w:cs="Calibri"/>
                <w:noProof/>
                <w:sz w:val="18"/>
                <w:szCs w:val="18"/>
              </w:rPr>
            </w:pPr>
            <w:r>
              <w:rPr>
                <w:rFonts w:ascii="Calibri" w:hAnsi="Calibri" w:cs="Calibri"/>
                <w:noProof/>
                <w:sz w:val="18"/>
                <w:szCs w:val="18"/>
              </w:rPr>
              <w:t>Title</w:t>
            </w:r>
          </w:p>
        </w:tc>
        <w:tc>
          <w:tcPr>
            <w:tcW w:w="1577" w:type="dxa"/>
            <w:shd w:val="clear" w:color="auto" w:fill="D9F2D0" w:themeFill="accent6" w:themeFillTint="33"/>
          </w:tcPr>
          <w:p w14:paraId="59215F54" w14:textId="77777777" w:rsidR="00890FA4" w:rsidRDefault="00890FA4" w:rsidP="00EE0810">
            <w:pPr>
              <w:rPr>
                <w:rFonts w:ascii="Calibri" w:hAnsi="Calibri" w:cs="Calibri"/>
                <w:noProof/>
                <w:sz w:val="18"/>
                <w:szCs w:val="18"/>
              </w:rPr>
            </w:pPr>
            <w:r>
              <w:rPr>
                <w:rFonts w:ascii="Calibri" w:hAnsi="Calibri" w:cs="Calibri"/>
                <w:noProof/>
                <w:sz w:val="18"/>
                <w:szCs w:val="18"/>
              </w:rPr>
              <w:t>Authors</w:t>
            </w:r>
          </w:p>
        </w:tc>
        <w:tc>
          <w:tcPr>
            <w:tcW w:w="1628" w:type="dxa"/>
            <w:shd w:val="clear" w:color="auto" w:fill="D9F2D0" w:themeFill="accent6" w:themeFillTint="33"/>
          </w:tcPr>
          <w:p w14:paraId="7052EE55" w14:textId="77777777" w:rsidR="00890FA4" w:rsidRDefault="00890FA4" w:rsidP="00EE0810">
            <w:pPr>
              <w:rPr>
                <w:rFonts w:ascii="Calibri" w:hAnsi="Calibri" w:cs="Calibri"/>
                <w:noProof/>
                <w:sz w:val="18"/>
                <w:szCs w:val="18"/>
              </w:rPr>
            </w:pPr>
            <w:r>
              <w:rPr>
                <w:rFonts w:ascii="Calibri" w:hAnsi="Calibri" w:cs="Calibri"/>
                <w:noProof/>
                <w:sz w:val="18"/>
                <w:szCs w:val="18"/>
              </w:rPr>
              <w:t>University</w:t>
            </w:r>
          </w:p>
        </w:tc>
        <w:tc>
          <w:tcPr>
            <w:tcW w:w="1760" w:type="dxa"/>
            <w:shd w:val="clear" w:color="auto" w:fill="D9F2D0" w:themeFill="accent6" w:themeFillTint="33"/>
          </w:tcPr>
          <w:p w14:paraId="388E2465" w14:textId="77777777" w:rsidR="00890FA4" w:rsidRDefault="00890FA4" w:rsidP="00EE0810">
            <w:pPr>
              <w:rPr>
                <w:rFonts w:ascii="Calibri" w:hAnsi="Calibri" w:cs="Calibri"/>
                <w:noProof/>
                <w:sz w:val="18"/>
                <w:szCs w:val="18"/>
              </w:rPr>
            </w:pPr>
            <w:r>
              <w:rPr>
                <w:rFonts w:ascii="Calibri" w:hAnsi="Calibri" w:cs="Calibri"/>
                <w:noProof/>
                <w:sz w:val="18"/>
                <w:szCs w:val="18"/>
              </w:rPr>
              <w:t>Time/Derieux?</w:t>
            </w:r>
          </w:p>
        </w:tc>
      </w:tr>
      <w:tr w:rsidR="00890FA4" w:rsidRPr="00D03374" w14:paraId="134C5FD2" w14:textId="77777777" w:rsidTr="00EE0810">
        <w:trPr>
          <w:trHeight w:val="425"/>
        </w:trPr>
        <w:tc>
          <w:tcPr>
            <w:tcW w:w="1615" w:type="dxa"/>
            <w:vMerge w:val="restart"/>
          </w:tcPr>
          <w:p w14:paraId="544BB274"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P-35</w:t>
            </w:r>
          </w:p>
        </w:tc>
        <w:tc>
          <w:tcPr>
            <w:tcW w:w="2770" w:type="dxa"/>
            <w:vMerge w:val="restart"/>
          </w:tcPr>
          <w:p w14:paraId="7709F33D"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In Silico Comparison of Anaerobic Glucose–Xylose Consumption by Yeast and Bacteria in Single and Co-Culture Systems</w:t>
            </w:r>
          </w:p>
        </w:tc>
        <w:tc>
          <w:tcPr>
            <w:tcW w:w="1577" w:type="dxa"/>
            <w:vMerge w:val="restart"/>
          </w:tcPr>
          <w:p w14:paraId="53C568F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Rutuja S Bhamare, Samuel M.D. Oliveira</w:t>
            </w:r>
          </w:p>
        </w:tc>
        <w:tc>
          <w:tcPr>
            <w:tcW w:w="1628" w:type="dxa"/>
            <w:vMerge w:val="restart"/>
          </w:tcPr>
          <w:p w14:paraId="5758A4A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Joint School of Nanoscience and Nanoengineering, North Carolina Agricultural and Technical State University</w:t>
            </w:r>
          </w:p>
        </w:tc>
        <w:tc>
          <w:tcPr>
            <w:tcW w:w="1760" w:type="dxa"/>
          </w:tcPr>
          <w:p w14:paraId="7EB2254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7894DC56" w14:textId="77777777" w:rsidTr="00EE0810">
        <w:trPr>
          <w:trHeight w:val="424"/>
        </w:trPr>
        <w:tc>
          <w:tcPr>
            <w:tcW w:w="1615" w:type="dxa"/>
            <w:vMerge/>
          </w:tcPr>
          <w:p w14:paraId="7404C517" w14:textId="77777777" w:rsidR="00890FA4" w:rsidRPr="00D03374" w:rsidRDefault="00890FA4" w:rsidP="00EE0810">
            <w:pPr>
              <w:rPr>
                <w:rFonts w:ascii="Calibri" w:hAnsi="Calibri" w:cs="Calibri"/>
                <w:sz w:val="18"/>
                <w:szCs w:val="18"/>
              </w:rPr>
            </w:pPr>
          </w:p>
        </w:tc>
        <w:tc>
          <w:tcPr>
            <w:tcW w:w="2770" w:type="dxa"/>
            <w:vMerge/>
          </w:tcPr>
          <w:p w14:paraId="760A0055" w14:textId="77777777" w:rsidR="00890FA4" w:rsidRPr="00D03374" w:rsidRDefault="00890FA4" w:rsidP="00EE0810">
            <w:pPr>
              <w:rPr>
                <w:rFonts w:ascii="Calibri" w:hAnsi="Calibri" w:cs="Calibri"/>
                <w:sz w:val="18"/>
                <w:szCs w:val="18"/>
              </w:rPr>
            </w:pPr>
          </w:p>
        </w:tc>
        <w:tc>
          <w:tcPr>
            <w:tcW w:w="1577" w:type="dxa"/>
            <w:vMerge/>
          </w:tcPr>
          <w:p w14:paraId="78BBBC2E" w14:textId="77777777" w:rsidR="00890FA4" w:rsidRPr="00D03374" w:rsidRDefault="00890FA4" w:rsidP="00EE0810">
            <w:pPr>
              <w:rPr>
                <w:rFonts w:ascii="Calibri" w:hAnsi="Calibri" w:cs="Calibri"/>
                <w:sz w:val="18"/>
                <w:szCs w:val="18"/>
              </w:rPr>
            </w:pPr>
          </w:p>
        </w:tc>
        <w:tc>
          <w:tcPr>
            <w:tcW w:w="1628" w:type="dxa"/>
            <w:vMerge/>
          </w:tcPr>
          <w:p w14:paraId="552F21ED" w14:textId="77777777" w:rsidR="00890FA4" w:rsidRPr="00D03374" w:rsidRDefault="00890FA4" w:rsidP="00EE0810">
            <w:pPr>
              <w:rPr>
                <w:rFonts w:ascii="Calibri" w:hAnsi="Calibri" w:cs="Calibri"/>
                <w:sz w:val="18"/>
                <w:szCs w:val="18"/>
              </w:rPr>
            </w:pPr>
          </w:p>
        </w:tc>
        <w:tc>
          <w:tcPr>
            <w:tcW w:w="1760" w:type="dxa"/>
          </w:tcPr>
          <w:p w14:paraId="0C356CA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284892FF" w14:textId="77777777" w:rsidTr="00EE0810">
        <w:trPr>
          <w:trHeight w:val="425"/>
        </w:trPr>
        <w:tc>
          <w:tcPr>
            <w:tcW w:w="1615" w:type="dxa"/>
            <w:vMerge w:val="restart"/>
          </w:tcPr>
          <w:p w14:paraId="01D5C183"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P-36</w:t>
            </w:r>
          </w:p>
        </w:tc>
        <w:tc>
          <w:tcPr>
            <w:tcW w:w="2770" w:type="dxa"/>
            <w:vMerge w:val="restart"/>
          </w:tcPr>
          <w:p w14:paraId="006D723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Antimicrobial Activity of Honey, Garlic, and Combined Honey–Garlic Treatments Against Staphylococcus haemolyticus</w:t>
            </w:r>
          </w:p>
        </w:tc>
        <w:tc>
          <w:tcPr>
            <w:tcW w:w="1577" w:type="dxa"/>
            <w:vMerge w:val="restart"/>
          </w:tcPr>
          <w:p w14:paraId="01C3879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Blackmoore Thaiesse*</w:t>
            </w:r>
          </w:p>
        </w:tc>
        <w:tc>
          <w:tcPr>
            <w:tcW w:w="1628" w:type="dxa"/>
            <w:vMerge w:val="restart"/>
          </w:tcPr>
          <w:p w14:paraId="4535940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337B9D2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74111564" w14:textId="77777777" w:rsidTr="00EE0810">
        <w:trPr>
          <w:trHeight w:val="424"/>
        </w:trPr>
        <w:tc>
          <w:tcPr>
            <w:tcW w:w="1615" w:type="dxa"/>
            <w:vMerge/>
          </w:tcPr>
          <w:p w14:paraId="033C1276" w14:textId="77777777" w:rsidR="00890FA4" w:rsidRPr="00D03374" w:rsidRDefault="00890FA4" w:rsidP="00EE0810">
            <w:pPr>
              <w:rPr>
                <w:rFonts w:ascii="Calibri" w:hAnsi="Calibri" w:cs="Calibri"/>
                <w:sz w:val="18"/>
                <w:szCs w:val="18"/>
              </w:rPr>
            </w:pPr>
          </w:p>
        </w:tc>
        <w:tc>
          <w:tcPr>
            <w:tcW w:w="2770" w:type="dxa"/>
            <w:vMerge/>
          </w:tcPr>
          <w:p w14:paraId="329CF9D5" w14:textId="77777777" w:rsidR="00890FA4" w:rsidRPr="00D03374" w:rsidRDefault="00890FA4" w:rsidP="00EE0810">
            <w:pPr>
              <w:rPr>
                <w:rFonts w:ascii="Calibri" w:hAnsi="Calibri" w:cs="Calibri"/>
                <w:sz w:val="18"/>
                <w:szCs w:val="18"/>
              </w:rPr>
            </w:pPr>
          </w:p>
        </w:tc>
        <w:tc>
          <w:tcPr>
            <w:tcW w:w="1577" w:type="dxa"/>
            <w:vMerge/>
          </w:tcPr>
          <w:p w14:paraId="4B29265D" w14:textId="77777777" w:rsidR="00890FA4" w:rsidRPr="00D03374" w:rsidRDefault="00890FA4" w:rsidP="00EE0810">
            <w:pPr>
              <w:rPr>
                <w:rFonts w:ascii="Calibri" w:hAnsi="Calibri" w:cs="Calibri"/>
                <w:sz w:val="18"/>
                <w:szCs w:val="18"/>
              </w:rPr>
            </w:pPr>
          </w:p>
        </w:tc>
        <w:tc>
          <w:tcPr>
            <w:tcW w:w="1628" w:type="dxa"/>
            <w:vMerge/>
          </w:tcPr>
          <w:p w14:paraId="04B1A14B" w14:textId="77777777" w:rsidR="00890FA4" w:rsidRPr="00D03374" w:rsidRDefault="00890FA4" w:rsidP="00EE0810">
            <w:pPr>
              <w:rPr>
                <w:rFonts w:ascii="Calibri" w:hAnsi="Calibri" w:cs="Calibri"/>
                <w:sz w:val="18"/>
                <w:szCs w:val="18"/>
              </w:rPr>
            </w:pPr>
          </w:p>
        </w:tc>
        <w:tc>
          <w:tcPr>
            <w:tcW w:w="1760" w:type="dxa"/>
          </w:tcPr>
          <w:p w14:paraId="2D85761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1DBAC357" w14:textId="77777777" w:rsidTr="00EE0810">
        <w:trPr>
          <w:trHeight w:val="425"/>
        </w:trPr>
        <w:tc>
          <w:tcPr>
            <w:tcW w:w="1615" w:type="dxa"/>
            <w:vMerge w:val="restart"/>
          </w:tcPr>
          <w:p w14:paraId="4E6E9BE2"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P-37</w:t>
            </w:r>
          </w:p>
        </w:tc>
        <w:tc>
          <w:tcPr>
            <w:tcW w:w="2770" w:type="dxa"/>
            <w:vMerge w:val="restart"/>
          </w:tcPr>
          <w:p w14:paraId="045EFF0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Synergistic Anticancer Effects of Iberin and Sulforaphane in Triple-Negative Breast Cancer</w:t>
            </w:r>
          </w:p>
        </w:tc>
        <w:tc>
          <w:tcPr>
            <w:tcW w:w="1577" w:type="dxa"/>
            <w:vMerge w:val="restart"/>
          </w:tcPr>
          <w:p w14:paraId="4B696AE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Moore, Natalie*, Zandra Pinnix</w:t>
            </w:r>
          </w:p>
        </w:tc>
        <w:tc>
          <w:tcPr>
            <w:tcW w:w="1628" w:type="dxa"/>
            <w:vMerge w:val="restart"/>
          </w:tcPr>
          <w:p w14:paraId="263814B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Guilford College</w:t>
            </w:r>
          </w:p>
        </w:tc>
        <w:tc>
          <w:tcPr>
            <w:tcW w:w="1760" w:type="dxa"/>
          </w:tcPr>
          <w:p w14:paraId="507E70D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6295DFD0" w14:textId="77777777" w:rsidTr="00EE0810">
        <w:trPr>
          <w:trHeight w:val="424"/>
        </w:trPr>
        <w:tc>
          <w:tcPr>
            <w:tcW w:w="1615" w:type="dxa"/>
            <w:vMerge/>
          </w:tcPr>
          <w:p w14:paraId="20E4AA0A" w14:textId="77777777" w:rsidR="00890FA4" w:rsidRPr="00D03374" w:rsidRDefault="00890FA4" w:rsidP="00EE0810">
            <w:pPr>
              <w:rPr>
                <w:rFonts w:ascii="Calibri" w:hAnsi="Calibri" w:cs="Calibri"/>
                <w:sz w:val="18"/>
                <w:szCs w:val="18"/>
              </w:rPr>
            </w:pPr>
          </w:p>
        </w:tc>
        <w:tc>
          <w:tcPr>
            <w:tcW w:w="2770" w:type="dxa"/>
            <w:vMerge/>
          </w:tcPr>
          <w:p w14:paraId="7F5BF568" w14:textId="77777777" w:rsidR="00890FA4" w:rsidRPr="00D03374" w:rsidRDefault="00890FA4" w:rsidP="00EE0810">
            <w:pPr>
              <w:rPr>
                <w:rFonts w:ascii="Calibri" w:hAnsi="Calibri" w:cs="Calibri"/>
                <w:sz w:val="18"/>
                <w:szCs w:val="18"/>
              </w:rPr>
            </w:pPr>
          </w:p>
        </w:tc>
        <w:tc>
          <w:tcPr>
            <w:tcW w:w="1577" w:type="dxa"/>
            <w:vMerge/>
          </w:tcPr>
          <w:p w14:paraId="05E28455" w14:textId="77777777" w:rsidR="00890FA4" w:rsidRPr="00D03374" w:rsidRDefault="00890FA4" w:rsidP="00EE0810">
            <w:pPr>
              <w:rPr>
                <w:rFonts w:ascii="Calibri" w:hAnsi="Calibri" w:cs="Calibri"/>
                <w:sz w:val="18"/>
                <w:szCs w:val="18"/>
              </w:rPr>
            </w:pPr>
          </w:p>
        </w:tc>
        <w:tc>
          <w:tcPr>
            <w:tcW w:w="1628" w:type="dxa"/>
            <w:vMerge/>
          </w:tcPr>
          <w:p w14:paraId="5DFB5392" w14:textId="77777777" w:rsidR="00890FA4" w:rsidRPr="00D03374" w:rsidRDefault="00890FA4" w:rsidP="00EE0810">
            <w:pPr>
              <w:rPr>
                <w:rFonts w:ascii="Calibri" w:hAnsi="Calibri" w:cs="Calibri"/>
                <w:sz w:val="18"/>
                <w:szCs w:val="18"/>
              </w:rPr>
            </w:pPr>
          </w:p>
        </w:tc>
        <w:tc>
          <w:tcPr>
            <w:tcW w:w="1760" w:type="dxa"/>
          </w:tcPr>
          <w:p w14:paraId="0DC1E5B4" w14:textId="77777777" w:rsidR="00890FA4" w:rsidRPr="00D03374" w:rsidRDefault="00890FA4" w:rsidP="00EE0810">
            <w:pPr>
              <w:rPr>
                <w:rFonts w:ascii="Calibri" w:hAnsi="Calibri" w:cs="Calibri"/>
                <w:sz w:val="18"/>
                <w:szCs w:val="18"/>
              </w:rPr>
            </w:pPr>
          </w:p>
        </w:tc>
      </w:tr>
      <w:tr w:rsidR="00890FA4" w:rsidRPr="00D03374" w14:paraId="19BB4A99" w14:textId="77777777" w:rsidTr="00EE0810">
        <w:trPr>
          <w:trHeight w:val="425"/>
        </w:trPr>
        <w:tc>
          <w:tcPr>
            <w:tcW w:w="1615" w:type="dxa"/>
            <w:vMerge w:val="restart"/>
          </w:tcPr>
          <w:p w14:paraId="2AB81BF6"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P-38</w:t>
            </w:r>
          </w:p>
        </w:tc>
        <w:tc>
          <w:tcPr>
            <w:tcW w:w="2770" w:type="dxa"/>
            <w:vMerge w:val="restart"/>
          </w:tcPr>
          <w:p w14:paraId="7415675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Hazards of artificial turf: from turf burn to Acinetobacter infection</w:t>
            </w:r>
          </w:p>
        </w:tc>
        <w:tc>
          <w:tcPr>
            <w:tcW w:w="1577" w:type="dxa"/>
            <w:vMerge w:val="restart"/>
          </w:tcPr>
          <w:p w14:paraId="742A263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Muse, Kylie*, Zandra Pinnix</w:t>
            </w:r>
          </w:p>
        </w:tc>
        <w:tc>
          <w:tcPr>
            <w:tcW w:w="1628" w:type="dxa"/>
            <w:vMerge w:val="restart"/>
          </w:tcPr>
          <w:p w14:paraId="1008A2B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Guilford College</w:t>
            </w:r>
          </w:p>
        </w:tc>
        <w:tc>
          <w:tcPr>
            <w:tcW w:w="1760" w:type="dxa"/>
          </w:tcPr>
          <w:p w14:paraId="3655EEE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4DC04974" w14:textId="77777777" w:rsidTr="00EE0810">
        <w:trPr>
          <w:trHeight w:val="424"/>
        </w:trPr>
        <w:tc>
          <w:tcPr>
            <w:tcW w:w="1615" w:type="dxa"/>
            <w:vMerge/>
          </w:tcPr>
          <w:p w14:paraId="41297CEA" w14:textId="77777777" w:rsidR="00890FA4" w:rsidRPr="00D03374" w:rsidRDefault="00890FA4" w:rsidP="00EE0810">
            <w:pPr>
              <w:rPr>
                <w:rFonts w:ascii="Calibri" w:hAnsi="Calibri" w:cs="Calibri"/>
                <w:sz w:val="18"/>
                <w:szCs w:val="18"/>
              </w:rPr>
            </w:pPr>
          </w:p>
        </w:tc>
        <w:tc>
          <w:tcPr>
            <w:tcW w:w="2770" w:type="dxa"/>
            <w:vMerge/>
          </w:tcPr>
          <w:p w14:paraId="6FA9F2B9" w14:textId="77777777" w:rsidR="00890FA4" w:rsidRPr="00D03374" w:rsidRDefault="00890FA4" w:rsidP="00EE0810">
            <w:pPr>
              <w:rPr>
                <w:rFonts w:ascii="Calibri" w:hAnsi="Calibri" w:cs="Calibri"/>
                <w:sz w:val="18"/>
                <w:szCs w:val="18"/>
              </w:rPr>
            </w:pPr>
          </w:p>
        </w:tc>
        <w:tc>
          <w:tcPr>
            <w:tcW w:w="1577" w:type="dxa"/>
            <w:vMerge/>
          </w:tcPr>
          <w:p w14:paraId="65D19B9D" w14:textId="77777777" w:rsidR="00890FA4" w:rsidRPr="00D03374" w:rsidRDefault="00890FA4" w:rsidP="00EE0810">
            <w:pPr>
              <w:rPr>
                <w:rFonts w:ascii="Calibri" w:hAnsi="Calibri" w:cs="Calibri"/>
                <w:sz w:val="18"/>
                <w:szCs w:val="18"/>
              </w:rPr>
            </w:pPr>
          </w:p>
        </w:tc>
        <w:tc>
          <w:tcPr>
            <w:tcW w:w="1628" w:type="dxa"/>
            <w:vMerge/>
          </w:tcPr>
          <w:p w14:paraId="354BD258" w14:textId="77777777" w:rsidR="00890FA4" w:rsidRPr="00D03374" w:rsidRDefault="00890FA4" w:rsidP="00EE0810">
            <w:pPr>
              <w:rPr>
                <w:rFonts w:ascii="Calibri" w:hAnsi="Calibri" w:cs="Calibri"/>
                <w:sz w:val="18"/>
                <w:szCs w:val="18"/>
              </w:rPr>
            </w:pPr>
          </w:p>
        </w:tc>
        <w:tc>
          <w:tcPr>
            <w:tcW w:w="1760" w:type="dxa"/>
          </w:tcPr>
          <w:p w14:paraId="38D13A8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37631F15" w14:textId="77777777" w:rsidTr="00EE0810">
        <w:trPr>
          <w:trHeight w:val="425"/>
        </w:trPr>
        <w:tc>
          <w:tcPr>
            <w:tcW w:w="1615" w:type="dxa"/>
            <w:vMerge w:val="restart"/>
          </w:tcPr>
          <w:p w14:paraId="64CEC83F"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P-39</w:t>
            </w:r>
          </w:p>
        </w:tc>
        <w:tc>
          <w:tcPr>
            <w:tcW w:w="2770" w:type="dxa"/>
            <w:vMerge w:val="restart"/>
          </w:tcPr>
          <w:p w14:paraId="6BE5024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TMEInsight: Elucidating patient-specific immune-pathway crosstalk via deep learning to foreshadow tumor progression</w:t>
            </w:r>
          </w:p>
        </w:tc>
        <w:tc>
          <w:tcPr>
            <w:tcW w:w="1577" w:type="dxa"/>
            <w:vMerge w:val="restart"/>
          </w:tcPr>
          <w:p w14:paraId="4B96805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Sreeja Appala</w:t>
            </w:r>
          </w:p>
        </w:tc>
        <w:tc>
          <w:tcPr>
            <w:tcW w:w="1628" w:type="dxa"/>
            <w:vMerge w:val="restart"/>
          </w:tcPr>
          <w:p w14:paraId="67C67C5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North Carolina School of Science and Mathematics</w:t>
            </w:r>
          </w:p>
        </w:tc>
        <w:tc>
          <w:tcPr>
            <w:tcW w:w="1760" w:type="dxa"/>
          </w:tcPr>
          <w:p w14:paraId="449C332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121FD434" w14:textId="77777777" w:rsidTr="00EE0810">
        <w:trPr>
          <w:trHeight w:val="424"/>
        </w:trPr>
        <w:tc>
          <w:tcPr>
            <w:tcW w:w="1615" w:type="dxa"/>
            <w:vMerge/>
          </w:tcPr>
          <w:p w14:paraId="70AC4024" w14:textId="77777777" w:rsidR="00890FA4" w:rsidRPr="00D03374" w:rsidRDefault="00890FA4" w:rsidP="00EE0810">
            <w:pPr>
              <w:rPr>
                <w:rFonts w:ascii="Calibri" w:hAnsi="Calibri" w:cs="Calibri"/>
                <w:sz w:val="18"/>
                <w:szCs w:val="18"/>
              </w:rPr>
            </w:pPr>
          </w:p>
        </w:tc>
        <w:tc>
          <w:tcPr>
            <w:tcW w:w="2770" w:type="dxa"/>
            <w:vMerge/>
          </w:tcPr>
          <w:p w14:paraId="1B25AB47" w14:textId="77777777" w:rsidR="00890FA4" w:rsidRPr="00D03374" w:rsidRDefault="00890FA4" w:rsidP="00EE0810">
            <w:pPr>
              <w:rPr>
                <w:rFonts w:ascii="Calibri" w:hAnsi="Calibri" w:cs="Calibri"/>
                <w:sz w:val="18"/>
                <w:szCs w:val="18"/>
              </w:rPr>
            </w:pPr>
          </w:p>
        </w:tc>
        <w:tc>
          <w:tcPr>
            <w:tcW w:w="1577" w:type="dxa"/>
            <w:vMerge/>
          </w:tcPr>
          <w:p w14:paraId="0F28828F" w14:textId="77777777" w:rsidR="00890FA4" w:rsidRPr="00D03374" w:rsidRDefault="00890FA4" w:rsidP="00EE0810">
            <w:pPr>
              <w:rPr>
                <w:rFonts w:ascii="Calibri" w:hAnsi="Calibri" w:cs="Calibri"/>
                <w:sz w:val="18"/>
                <w:szCs w:val="18"/>
              </w:rPr>
            </w:pPr>
          </w:p>
        </w:tc>
        <w:tc>
          <w:tcPr>
            <w:tcW w:w="1628" w:type="dxa"/>
            <w:vMerge/>
          </w:tcPr>
          <w:p w14:paraId="20257188" w14:textId="77777777" w:rsidR="00890FA4" w:rsidRPr="00D03374" w:rsidRDefault="00890FA4" w:rsidP="00EE0810">
            <w:pPr>
              <w:rPr>
                <w:rFonts w:ascii="Calibri" w:hAnsi="Calibri" w:cs="Calibri"/>
                <w:sz w:val="18"/>
                <w:szCs w:val="18"/>
              </w:rPr>
            </w:pPr>
          </w:p>
        </w:tc>
        <w:tc>
          <w:tcPr>
            <w:tcW w:w="1760" w:type="dxa"/>
          </w:tcPr>
          <w:p w14:paraId="5781301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399F0A56" w14:textId="77777777" w:rsidTr="00EE0810">
        <w:trPr>
          <w:trHeight w:val="425"/>
        </w:trPr>
        <w:tc>
          <w:tcPr>
            <w:tcW w:w="1615" w:type="dxa"/>
            <w:vMerge w:val="restart"/>
          </w:tcPr>
          <w:p w14:paraId="6A1C988B"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P-40</w:t>
            </w:r>
          </w:p>
        </w:tc>
        <w:tc>
          <w:tcPr>
            <w:tcW w:w="2770" w:type="dxa"/>
            <w:vMerge w:val="restart"/>
          </w:tcPr>
          <w:p w14:paraId="6614FB8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Antimicrobial activity of honey, turmeric , and combined honey–turmeric treatments against Multi-drug-resistant Staphylococcus haemolyticus</w:t>
            </w:r>
          </w:p>
        </w:tc>
        <w:tc>
          <w:tcPr>
            <w:tcW w:w="1577" w:type="dxa"/>
            <w:vMerge w:val="restart"/>
          </w:tcPr>
          <w:p w14:paraId="4E02BE5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Torain, Noah*, Akamu Ewunkem</w:t>
            </w:r>
          </w:p>
        </w:tc>
        <w:tc>
          <w:tcPr>
            <w:tcW w:w="1628" w:type="dxa"/>
            <w:vMerge w:val="restart"/>
          </w:tcPr>
          <w:p w14:paraId="5A4BF37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2EC794A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4ACCADA" w14:textId="77777777" w:rsidTr="00EE0810">
        <w:trPr>
          <w:trHeight w:val="424"/>
        </w:trPr>
        <w:tc>
          <w:tcPr>
            <w:tcW w:w="1615" w:type="dxa"/>
            <w:vMerge/>
          </w:tcPr>
          <w:p w14:paraId="255C5126" w14:textId="77777777" w:rsidR="00890FA4" w:rsidRPr="00D03374" w:rsidRDefault="00890FA4" w:rsidP="00EE0810">
            <w:pPr>
              <w:rPr>
                <w:rFonts w:ascii="Calibri" w:hAnsi="Calibri" w:cs="Calibri"/>
                <w:sz w:val="18"/>
                <w:szCs w:val="18"/>
              </w:rPr>
            </w:pPr>
          </w:p>
        </w:tc>
        <w:tc>
          <w:tcPr>
            <w:tcW w:w="2770" w:type="dxa"/>
            <w:vMerge/>
          </w:tcPr>
          <w:p w14:paraId="61A1D25B" w14:textId="77777777" w:rsidR="00890FA4" w:rsidRPr="00D03374" w:rsidRDefault="00890FA4" w:rsidP="00EE0810">
            <w:pPr>
              <w:rPr>
                <w:rFonts w:ascii="Calibri" w:hAnsi="Calibri" w:cs="Calibri"/>
                <w:sz w:val="18"/>
                <w:szCs w:val="18"/>
              </w:rPr>
            </w:pPr>
          </w:p>
        </w:tc>
        <w:tc>
          <w:tcPr>
            <w:tcW w:w="1577" w:type="dxa"/>
            <w:vMerge/>
          </w:tcPr>
          <w:p w14:paraId="180FC5B4" w14:textId="77777777" w:rsidR="00890FA4" w:rsidRPr="00D03374" w:rsidRDefault="00890FA4" w:rsidP="00EE0810">
            <w:pPr>
              <w:rPr>
                <w:rFonts w:ascii="Calibri" w:hAnsi="Calibri" w:cs="Calibri"/>
                <w:sz w:val="18"/>
                <w:szCs w:val="18"/>
              </w:rPr>
            </w:pPr>
          </w:p>
        </w:tc>
        <w:tc>
          <w:tcPr>
            <w:tcW w:w="1628" w:type="dxa"/>
            <w:vMerge/>
          </w:tcPr>
          <w:p w14:paraId="3020394C" w14:textId="77777777" w:rsidR="00890FA4" w:rsidRPr="00D03374" w:rsidRDefault="00890FA4" w:rsidP="00EE0810">
            <w:pPr>
              <w:rPr>
                <w:rFonts w:ascii="Calibri" w:hAnsi="Calibri" w:cs="Calibri"/>
                <w:sz w:val="18"/>
                <w:szCs w:val="18"/>
              </w:rPr>
            </w:pPr>
          </w:p>
        </w:tc>
        <w:tc>
          <w:tcPr>
            <w:tcW w:w="1760" w:type="dxa"/>
          </w:tcPr>
          <w:p w14:paraId="5F42E73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7C903B5F" w14:textId="77777777" w:rsidTr="00EE0810">
        <w:trPr>
          <w:trHeight w:val="425"/>
        </w:trPr>
        <w:tc>
          <w:tcPr>
            <w:tcW w:w="1615" w:type="dxa"/>
            <w:vMerge w:val="restart"/>
          </w:tcPr>
          <w:p w14:paraId="13EEC492"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P-41</w:t>
            </w:r>
          </w:p>
        </w:tc>
        <w:tc>
          <w:tcPr>
            <w:tcW w:w="2770" w:type="dxa"/>
            <w:vMerge w:val="restart"/>
          </w:tcPr>
          <w:p w14:paraId="49F7D16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Study of Zanthoxylum armatum extract on the inhibition of Staphylococcus aureus growth and impact on biofilms</w:t>
            </w:r>
          </w:p>
        </w:tc>
        <w:tc>
          <w:tcPr>
            <w:tcW w:w="1577" w:type="dxa"/>
            <w:vMerge w:val="restart"/>
          </w:tcPr>
          <w:p w14:paraId="432A523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Abernathy  Lauren*,  Uchenna  Iloghalu, Akamu Ewunkem</w:t>
            </w:r>
          </w:p>
        </w:tc>
        <w:tc>
          <w:tcPr>
            <w:tcW w:w="1628" w:type="dxa"/>
            <w:vMerge w:val="restart"/>
          </w:tcPr>
          <w:p w14:paraId="49A1A98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59F08E4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10790C3B" w14:textId="77777777" w:rsidTr="00EE0810">
        <w:trPr>
          <w:trHeight w:val="424"/>
        </w:trPr>
        <w:tc>
          <w:tcPr>
            <w:tcW w:w="1615" w:type="dxa"/>
            <w:vMerge/>
          </w:tcPr>
          <w:p w14:paraId="4442A113" w14:textId="77777777" w:rsidR="00890FA4" w:rsidRPr="00D03374" w:rsidRDefault="00890FA4" w:rsidP="00EE0810">
            <w:pPr>
              <w:rPr>
                <w:rFonts w:ascii="Calibri" w:hAnsi="Calibri" w:cs="Calibri"/>
                <w:sz w:val="18"/>
                <w:szCs w:val="18"/>
              </w:rPr>
            </w:pPr>
          </w:p>
        </w:tc>
        <w:tc>
          <w:tcPr>
            <w:tcW w:w="2770" w:type="dxa"/>
            <w:vMerge/>
          </w:tcPr>
          <w:p w14:paraId="4B2A2F97" w14:textId="77777777" w:rsidR="00890FA4" w:rsidRPr="00D03374" w:rsidRDefault="00890FA4" w:rsidP="00EE0810">
            <w:pPr>
              <w:rPr>
                <w:rFonts w:ascii="Calibri" w:hAnsi="Calibri" w:cs="Calibri"/>
                <w:sz w:val="18"/>
                <w:szCs w:val="18"/>
              </w:rPr>
            </w:pPr>
          </w:p>
        </w:tc>
        <w:tc>
          <w:tcPr>
            <w:tcW w:w="1577" w:type="dxa"/>
            <w:vMerge/>
          </w:tcPr>
          <w:p w14:paraId="2C709DF5" w14:textId="77777777" w:rsidR="00890FA4" w:rsidRPr="00D03374" w:rsidRDefault="00890FA4" w:rsidP="00EE0810">
            <w:pPr>
              <w:rPr>
                <w:rFonts w:ascii="Calibri" w:hAnsi="Calibri" w:cs="Calibri"/>
                <w:sz w:val="18"/>
                <w:szCs w:val="18"/>
              </w:rPr>
            </w:pPr>
          </w:p>
        </w:tc>
        <w:tc>
          <w:tcPr>
            <w:tcW w:w="1628" w:type="dxa"/>
            <w:vMerge/>
          </w:tcPr>
          <w:p w14:paraId="77687B45" w14:textId="77777777" w:rsidR="00890FA4" w:rsidRPr="00D03374" w:rsidRDefault="00890FA4" w:rsidP="00EE0810">
            <w:pPr>
              <w:rPr>
                <w:rFonts w:ascii="Calibri" w:hAnsi="Calibri" w:cs="Calibri"/>
                <w:sz w:val="18"/>
                <w:szCs w:val="18"/>
              </w:rPr>
            </w:pPr>
          </w:p>
        </w:tc>
        <w:tc>
          <w:tcPr>
            <w:tcW w:w="1760" w:type="dxa"/>
          </w:tcPr>
          <w:p w14:paraId="7E4DF9E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573B4AF8" w14:textId="77777777" w:rsidTr="00EE0810">
        <w:trPr>
          <w:trHeight w:val="425"/>
        </w:trPr>
        <w:tc>
          <w:tcPr>
            <w:tcW w:w="1615" w:type="dxa"/>
            <w:vMerge w:val="restart"/>
          </w:tcPr>
          <w:p w14:paraId="0ED6E9E9"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P-42</w:t>
            </w:r>
          </w:p>
        </w:tc>
        <w:tc>
          <w:tcPr>
            <w:tcW w:w="2770" w:type="dxa"/>
            <w:vMerge w:val="restart"/>
          </w:tcPr>
          <w:p w14:paraId="65D8452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Identification of unknown bacteria from throat swab</w:t>
            </w:r>
          </w:p>
        </w:tc>
        <w:tc>
          <w:tcPr>
            <w:tcW w:w="1577" w:type="dxa"/>
            <w:vMerge w:val="restart"/>
          </w:tcPr>
          <w:p w14:paraId="34E16A7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Aniya Hawkins*, Akamu Ewunkem, Uchenna  Iloghalu</w:t>
            </w:r>
          </w:p>
        </w:tc>
        <w:tc>
          <w:tcPr>
            <w:tcW w:w="1628" w:type="dxa"/>
            <w:vMerge w:val="restart"/>
          </w:tcPr>
          <w:p w14:paraId="46BD4E4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677038A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0FDFA2B8" w14:textId="77777777" w:rsidTr="00EE0810">
        <w:trPr>
          <w:trHeight w:val="424"/>
        </w:trPr>
        <w:tc>
          <w:tcPr>
            <w:tcW w:w="1615" w:type="dxa"/>
            <w:vMerge/>
          </w:tcPr>
          <w:p w14:paraId="18B7EB2E" w14:textId="77777777" w:rsidR="00890FA4" w:rsidRPr="00D03374" w:rsidRDefault="00890FA4" w:rsidP="00EE0810">
            <w:pPr>
              <w:rPr>
                <w:rFonts w:ascii="Calibri" w:hAnsi="Calibri" w:cs="Calibri"/>
                <w:sz w:val="18"/>
                <w:szCs w:val="18"/>
              </w:rPr>
            </w:pPr>
          </w:p>
        </w:tc>
        <w:tc>
          <w:tcPr>
            <w:tcW w:w="2770" w:type="dxa"/>
            <w:vMerge/>
          </w:tcPr>
          <w:p w14:paraId="62C60A71" w14:textId="77777777" w:rsidR="00890FA4" w:rsidRPr="00D03374" w:rsidRDefault="00890FA4" w:rsidP="00EE0810">
            <w:pPr>
              <w:rPr>
                <w:rFonts w:ascii="Calibri" w:hAnsi="Calibri" w:cs="Calibri"/>
                <w:sz w:val="18"/>
                <w:szCs w:val="18"/>
              </w:rPr>
            </w:pPr>
          </w:p>
        </w:tc>
        <w:tc>
          <w:tcPr>
            <w:tcW w:w="1577" w:type="dxa"/>
            <w:vMerge/>
          </w:tcPr>
          <w:p w14:paraId="628B7CDF" w14:textId="77777777" w:rsidR="00890FA4" w:rsidRPr="00D03374" w:rsidRDefault="00890FA4" w:rsidP="00EE0810">
            <w:pPr>
              <w:rPr>
                <w:rFonts w:ascii="Calibri" w:hAnsi="Calibri" w:cs="Calibri"/>
                <w:sz w:val="18"/>
                <w:szCs w:val="18"/>
              </w:rPr>
            </w:pPr>
          </w:p>
        </w:tc>
        <w:tc>
          <w:tcPr>
            <w:tcW w:w="1628" w:type="dxa"/>
            <w:vMerge/>
          </w:tcPr>
          <w:p w14:paraId="1C425F77" w14:textId="77777777" w:rsidR="00890FA4" w:rsidRPr="00D03374" w:rsidRDefault="00890FA4" w:rsidP="00EE0810">
            <w:pPr>
              <w:rPr>
                <w:rFonts w:ascii="Calibri" w:hAnsi="Calibri" w:cs="Calibri"/>
                <w:sz w:val="18"/>
                <w:szCs w:val="18"/>
              </w:rPr>
            </w:pPr>
          </w:p>
        </w:tc>
        <w:tc>
          <w:tcPr>
            <w:tcW w:w="1760" w:type="dxa"/>
          </w:tcPr>
          <w:p w14:paraId="395513A6" w14:textId="77777777" w:rsidR="00890FA4" w:rsidRPr="00D03374" w:rsidRDefault="00890FA4" w:rsidP="00EE0810">
            <w:pPr>
              <w:rPr>
                <w:rFonts w:ascii="Calibri" w:hAnsi="Calibri" w:cs="Calibri"/>
                <w:sz w:val="18"/>
                <w:szCs w:val="18"/>
              </w:rPr>
            </w:pPr>
          </w:p>
        </w:tc>
      </w:tr>
      <w:tr w:rsidR="00890FA4" w:rsidRPr="00D03374" w14:paraId="3884981A" w14:textId="77777777" w:rsidTr="00EE0810">
        <w:trPr>
          <w:trHeight w:val="425"/>
        </w:trPr>
        <w:tc>
          <w:tcPr>
            <w:tcW w:w="1615" w:type="dxa"/>
            <w:vMerge w:val="restart"/>
          </w:tcPr>
          <w:p w14:paraId="11723767"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P-43</w:t>
            </w:r>
          </w:p>
        </w:tc>
        <w:tc>
          <w:tcPr>
            <w:tcW w:w="2770" w:type="dxa"/>
            <w:vMerge w:val="restart"/>
          </w:tcPr>
          <w:p w14:paraId="65C413A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Impact of Environmental Nutrient Changes on Bacterial Characteristics</w:t>
            </w:r>
          </w:p>
        </w:tc>
        <w:tc>
          <w:tcPr>
            <w:tcW w:w="1577" w:type="dxa"/>
            <w:vMerge w:val="restart"/>
          </w:tcPr>
          <w:p w14:paraId="2E31DD9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Bennett, Nigeria*, Jordan Matthews, Ariane Peralta, Ph.D., and Danielle Graham, Ph.D.</w:t>
            </w:r>
          </w:p>
        </w:tc>
        <w:tc>
          <w:tcPr>
            <w:tcW w:w="1628" w:type="dxa"/>
            <w:vMerge w:val="restart"/>
          </w:tcPr>
          <w:p w14:paraId="4A0E6BA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East Carolina University, Fayetteville State University</w:t>
            </w:r>
          </w:p>
        </w:tc>
        <w:tc>
          <w:tcPr>
            <w:tcW w:w="1760" w:type="dxa"/>
          </w:tcPr>
          <w:p w14:paraId="2644CD4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3AF14AFF" w14:textId="77777777" w:rsidTr="00EE0810">
        <w:trPr>
          <w:trHeight w:val="424"/>
        </w:trPr>
        <w:tc>
          <w:tcPr>
            <w:tcW w:w="1615" w:type="dxa"/>
            <w:vMerge/>
          </w:tcPr>
          <w:p w14:paraId="51CBFFD3" w14:textId="77777777" w:rsidR="00890FA4" w:rsidRPr="00D03374" w:rsidRDefault="00890FA4" w:rsidP="00EE0810">
            <w:pPr>
              <w:rPr>
                <w:rFonts w:ascii="Calibri" w:hAnsi="Calibri" w:cs="Calibri"/>
                <w:sz w:val="18"/>
                <w:szCs w:val="18"/>
              </w:rPr>
            </w:pPr>
          </w:p>
        </w:tc>
        <w:tc>
          <w:tcPr>
            <w:tcW w:w="2770" w:type="dxa"/>
            <w:vMerge/>
          </w:tcPr>
          <w:p w14:paraId="1A222E73" w14:textId="77777777" w:rsidR="00890FA4" w:rsidRPr="00D03374" w:rsidRDefault="00890FA4" w:rsidP="00EE0810">
            <w:pPr>
              <w:rPr>
                <w:rFonts w:ascii="Calibri" w:hAnsi="Calibri" w:cs="Calibri"/>
                <w:sz w:val="18"/>
                <w:szCs w:val="18"/>
              </w:rPr>
            </w:pPr>
          </w:p>
        </w:tc>
        <w:tc>
          <w:tcPr>
            <w:tcW w:w="1577" w:type="dxa"/>
            <w:vMerge/>
          </w:tcPr>
          <w:p w14:paraId="2C5CC1BA" w14:textId="77777777" w:rsidR="00890FA4" w:rsidRPr="00D03374" w:rsidRDefault="00890FA4" w:rsidP="00EE0810">
            <w:pPr>
              <w:rPr>
                <w:rFonts w:ascii="Calibri" w:hAnsi="Calibri" w:cs="Calibri"/>
                <w:sz w:val="18"/>
                <w:szCs w:val="18"/>
              </w:rPr>
            </w:pPr>
          </w:p>
        </w:tc>
        <w:tc>
          <w:tcPr>
            <w:tcW w:w="1628" w:type="dxa"/>
            <w:vMerge/>
          </w:tcPr>
          <w:p w14:paraId="7D80CF23" w14:textId="77777777" w:rsidR="00890FA4" w:rsidRPr="00D03374" w:rsidRDefault="00890FA4" w:rsidP="00EE0810">
            <w:pPr>
              <w:rPr>
                <w:rFonts w:ascii="Calibri" w:hAnsi="Calibri" w:cs="Calibri"/>
                <w:sz w:val="18"/>
                <w:szCs w:val="18"/>
              </w:rPr>
            </w:pPr>
          </w:p>
        </w:tc>
        <w:tc>
          <w:tcPr>
            <w:tcW w:w="1760" w:type="dxa"/>
          </w:tcPr>
          <w:p w14:paraId="5197785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125CE23A" w14:textId="77777777" w:rsidTr="00EE0810">
        <w:trPr>
          <w:trHeight w:val="425"/>
        </w:trPr>
        <w:tc>
          <w:tcPr>
            <w:tcW w:w="1615" w:type="dxa"/>
            <w:vMerge w:val="restart"/>
          </w:tcPr>
          <w:p w14:paraId="55D6EFDA"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P-44</w:t>
            </w:r>
          </w:p>
        </w:tc>
        <w:tc>
          <w:tcPr>
            <w:tcW w:w="2770" w:type="dxa"/>
            <w:vMerge w:val="restart"/>
          </w:tcPr>
          <w:p w14:paraId="31BC688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Inhibitory Effects of Bitter melon (Momordica charantia) leaf extracts on Streptococcus pneumoniae growth</w:t>
            </w:r>
          </w:p>
        </w:tc>
        <w:tc>
          <w:tcPr>
            <w:tcW w:w="1577" w:type="dxa"/>
            <w:vMerge w:val="restart"/>
          </w:tcPr>
          <w:p w14:paraId="2402867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Cius, Saraye*, +C17+B16:G20+B16+B16:H22</w:t>
            </w:r>
          </w:p>
        </w:tc>
        <w:tc>
          <w:tcPr>
            <w:tcW w:w="1628" w:type="dxa"/>
            <w:vMerge w:val="restart"/>
          </w:tcPr>
          <w:p w14:paraId="0FEE50E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44A1E86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6EEC6EE0" w14:textId="77777777" w:rsidTr="00EE0810">
        <w:trPr>
          <w:trHeight w:val="424"/>
        </w:trPr>
        <w:tc>
          <w:tcPr>
            <w:tcW w:w="1615" w:type="dxa"/>
            <w:vMerge/>
          </w:tcPr>
          <w:p w14:paraId="105F90C2" w14:textId="77777777" w:rsidR="00890FA4" w:rsidRPr="00D03374" w:rsidRDefault="00890FA4" w:rsidP="00EE0810">
            <w:pPr>
              <w:rPr>
                <w:rFonts w:ascii="Calibri" w:hAnsi="Calibri" w:cs="Calibri"/>
                <w:sz w:val="18"/>
                <w:szCs w:val="18"/>
              </w:rPr>
            </w:pPr>
          </w:p>
        </w:tc>
        <w:tc>
          <w:tcPr>
            <w:tcW w:w="2770" w:type="dxa"/>
            <w:vMerge/>
          </w:tcPr>
          <w:p w14:paraId="3D41131B" w14:textId="77777777" w:rsidR="00890FA4" w:rsidRPr="00D03374" w:rsidRDefault="00890FA4" w:rsidP="00EE0810">
            <w:pPr>
              <w:rPr>
                <w:rFonts w:ascii="Calibri" w:hAnsi="Calibri" w:cs="Calibri"/>
                <w:sz w:val="18"/>
                <w:szCs w:val="18"/>
              </w:rPr>
            </w:pPr>
          </w:p>
        </w:tc>
        <w:tc>
          <w:tcPr>
            <w:tcW w:w="1577" w:type="dxa"/>
            <w:vMerge/>
          </w:tcPr>
          <w:p w14:paraId="0486C83B" w14:textId="77777777" w:rsidR="00890FA4" w:rsidRPr="00D03374" w:rsidRDefault="00890FA4" w:rsidP="00EE0810">
            <w:pPr>
              <w:rPr>
                <w:rFonts w:ascii="Calibri" w:hAnsi="Calibri" w:cs="Calibri"/>
                <w:sz w:val="18"/>
                <w:szCs w:val="18"/>
              </w:rPr>
            </w:pPr>
          </w:p>
        </w:tc>
        <w:tc>
          <w:tcPr>
            <w:tcW w:w="1628" w:type="dxa"/>
            <w:vMerge/>
          </w:tcPr>
          <w:p w14:paraId="41BC359B" w14:textId="77777777" w:rsidR="00890FA4" w:rsidRPr="00D03374" w:rsidRDefault="00890FA4" w:rsidP="00EE0810">
            <w:pPr>
              <w:rPr>
                <w:rFonts w:ascii="Calibri" w:hAnsi="Calibri" w:cs="Calibri"/>
                <w:sz w:val="18"/>
                <w:szCs w:val="18"/>
              </w:rPr>
            </w:pPr>
          </w:p>
        </w:tc>
        <w:tc>
          <w:tcPr>
            <w:tcW w:w="1760" w:type="dxa"/>
          </w:tcPr>
          <w:p w14:paraId="6C6161A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39C01C29" w14:textId="77777777" w:rsidTr="00EE0810">
        <w:trPr>
          <w:trHeight w:val="425"/>
        </w:trPr>
        <w:tc>
          <w:tcPr>
            <w:tcW w:w="1615" w:type="dxa"/>
            <w:vMerge w:val="restart"/>
          </w:tcPr>
          <w:p w14:paraId="7F668986"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P-45</w:t>
            </w:r>
          </w:p>
        </w:tc>
        <w:tc>
          <w:tcPr>
            <w:tcW w:w="2770" w:type="dxa"/>
            <w:vMerge w:val="restart"/>
          </w:tcPr>
          <w:p w14:paraId="1BB6C72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Evaluating the effects of honey and turmeric on biofilm formation of Staphylococcus haemolyticus</w:t>
            </w:r>
          </w:p>
        </w:tc>
        <w:tc>
          <w:tcPr>
            <w:tcW w:w="1577" w:type="dxa"/>
            <w:vMerge w:val="restart"/>
          </w:tcPr>
          <w:p w14:paraId="4E02E52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Deal Ariel*, Akamu Ewunkem</w:t>
            </w:r>
          </w:p>
        </w:tc>
        <w:tc>
          <w:tcPr>
            <w:tcW w:w="1628" w:type="dxa"/>
            <w:vMerge w:val="restart"/>
          </w:tcPr>
          <w:p w14:paraId="601EF08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1DFE243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135B0F7A" w14:textId="77777777" w:rsidTr="00EE0810">
        <w:trPr>
          <w:trHeight w:val="424"/>
        </w:trPr>
        <w:tc>
          <w:tcPr>
            <w:tcW w:w="1615" w:type="dxa"/>
            <w:vMerge/>
          </w:tcPr>
          <w:p w14:paraId="1A0523FE" w14:textId="77777777" w:rsidR="00890FA4" w:rsidRPr="00D03374" w:rsidRDefault="00890FA4" w:rsidP="00EE0810">
            <w:pPr>
              <w:rPr>
                <w:rFonts w:ascii="Calibri" w:hAnsi="Calibri" w:cs="Calibri"/>
                <w:sz w:val="18"/>
                <w:szCs w:val="18"/>
              </w:rPr>
            </w:pPr>
          </w:p>
        </w:tc>
        <w:tc>
          <w:tcPr>
            <w:tcW w:w="2770" w:type="dxa"/>
            <w:vMerge/>
          </w:tcPr>
          <w:p w14:paraId="52428B9B" w14:textId="77777777" w:rsidR="00890FA4" w:rsidRPr="00D03374" w:rsidRDefault="00890FA4" w:rsidP="00EE0810">
            <w:pPr>
              <w:rPr>
                <w:rFonts w:ascii="Calibri" w:hAnsi="Calibri" w:cs="Calibri"/>
                <w:sz w:val="18"/>
                <w:szCs w:val="18"/>
              </w:rPr>
            </w:pPr>
          </w:p>
        </w:tc>
        <w:tc>
          <w:tcPr>
            <w:tcW w:w="1577" w:type="dxa"/>
            <w:vMerge/>
          </w:tcPr>
          <w:p w14:paraId="5DF2AC52" w14:textId="77777777" w:rsidR="00890FA4" w:rsidRPr="00D03374" w:rsidRDefault="00890FA4" w:rsidP="00EE0810">
            <w:pPr>
              <w:rPr>
                <w:rFonts w:ascii="Calibri" w:hAnsi="Calibri" w:cs="Calibri"/>
                <w:sz w:val="18"/>
                <w:szCs w:val="18"/>
              </w:rPr>
            </w:pPr>
          </w:p>
        </w:tc>
        <w:tc>
          <w:tcPr>
            <w:tcW w:w="1628" w:type="dxa"/>
            <w:vMerge/>
          </w:tcPr>
          <w:p w14:paraId="41C9BF06" w14:textId="77777777" w:rsidR="00890FA4" w:rsidRPr="00D03374" w:rsidRDefault="00890FA4" w:rsidP="00EE0810">
            <w:pPr>
              <w:rPr>
                <w:rFonts w:ascii="Calibri" w:hAnsi="Calibri" w:cs="Calibri"/>
                <w:sz w:val="18"/>
                <w:szCs w:val="18"/>
              </w:rPr>
            </w:pPr>
          </w:p>
        </w:tc>
        <w:tc>
          <w:tcPr>
            <w:tcW w:w="1760" w:type="dxa"/>
          </w:tcPr>
          <w:p w14:paraId="73B21EF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4A8D1DF8" w14:textId="77777777" w:rsidTr="00EE0810">
        <w:trPr>
          <w:trHeight w:val="425"/>
        </w:trPr>
        <w:tc>
          <w:tcPr>
            <w:tcW w:w="1615" w:type="dxa"/>
            <w:vMerge w:val="restart"/>
          </w:tcPr>
          <w:p w14:paraId="404C757F" w14:textId="77777777" w:rsidR="00663C86" w:rsidRDefault="00663C86" w:rsidP="00EE0810">
            <w:pPr>
              <w:rPr>
                <w:rFonts w:ascii="Calibri" w:hAnsi="Calibri" w:cs="Calibri"/>
                <w:noProof/>
                <w:sz w:val="18"/>
                <w:szCs w:val="18"/>
              </w:rPr>
            </w:pPr>
          </w:p>
          <w:p w14:paraId="7D1B088E" w14:textId="77777777" w:rsidR="00834AC6" w:rsidRDefault="00834AC6" w:rsidP="00EE0810">
            <w:pPr>
              <w:rPr>
                <w:rFonts w:ascii="Calibri" w:hAnsi="Calibri" w:cs="Calibri"/>
                <w:noProof/>
                <w:sz w:val="18"/>
                <w:szCs w:val="18"/>
              </w:rPr>
            </w:pPr>
          </w:p>
          <w:p w14:paraId="276D66B5" w14:textId="2035856D"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lastRenderedPageBreak/>
              <w:t>P-46</w:t>
            </w:r>
          </w:p>
        </w:tc>
        <w:tc>
          <w:tcPr>
            <w:tcW w:w="2770" w:type="dxa"/>
            <w:vMerge w:val="restart"/>
          </w:tcPr>
          <w:p w14:paraId="3B8C2212" w14:textId="77777777" w:rsidR="00834AC6" w:rsidRDefault="00834AC6" w:rsidP="00EE0810">
            <w:pPr>
              <w:rPr>
                <w:rFonts w:ascii="Calibri" w:hAnsi="Calibri" w:cs="Calibri"/>
                <w:noProof/>
                <w:sz w:val="18"/>
                <w:szCs w:val="18"/>
              </w:rPr>
            </w:pPr>
          </w:p>
          <w:p w14:paraId="2B09E7C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Comparative efficacy of green and chemically synthesized silver nanoparticles against E. coli  and the synergistic potential of their combination</w:t>
            </w:r>
          </w:p>
        </w:tc>
        <w:tc>
          <w:tcPr>
            <w:tcW w:w="1577" w:type="dxa"/>
            <w:vMerge w:val="restart"/>
          </w:tcPr>
          <w:p w14:paraId="51BE3384" w14:textId="77777777" w:rsidR="00834AC6" w:rsidRDefault="00834AC6" w:rsidP="00EE0810">
            <w:pPr>
              <w:rPr>
                <w:rFonts w:ascii="Calibri" w:hAnsi="Calibri" w:cs="Calibri"/>
                <w:noProof/>
                <w:sz w:val="18"/>
                <w:szCs w:val="18"/>
              </w:rPr>
            </w:pPr>
          </w:p>
          <w:p w14:paraId="360C7AD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Dixon Josiah*, Akamu Ewunkem</w:t>
            </w:r>
          </w:p>
        </w:tc>
        <w:tc>
          <w:tcPr>
            <w:tcW w:w="1628" w:type="dxa"/>
            <w:vMerge w:val="restart"/>
          </w:tcPr>
          <w:p w14:paraId="73BDD2DD" w14:textId="77777777" w:rsidR="00834AC6" w:rsidRDefault="00834AC6" w:rsidP="00EE0810">
            <w:pPr>
              <w:rPr>
                <w:rFonts w:ascii="Calibri" w:hAnsi="Calibri" w:cs="Calibri"/>
                <w:noProof/>
                <w:sz w:val="18"/>
                <w:szCs w:val="18"/>
              </w:rPr>
            </w:pPr>
          </w:p>
          <w:p w14:paraId="17D1EFB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Winston Salem State University</w:t>
            </w:r>
          </w:p>
        </w:tc>
        <w:tc>
          <w:tcPr>
            <w:tcW w:w="1760" w:type="dxa"/>
          </w:tcPr>
          <w:p w14:paraId="7EBCF123" w14:textId="77777777" w:rsidR="001756D7" w:rsidRDefault="001756D7" w:rsidP="00EE0810">
            <w:pPr>
              <w:rPr>
                <w:rFonts w:ascii="Calibri" w:hAnsi="Calibri" w:cs="Calibri"/>
                <w:noProof/>
                <w:sz w:val="18"/>
                <w:szCs w:val="18"/>
              </w:rPr>
            </w:pPr>
          </w:p>
          <w:p w14:paraId="06540A8E" w14:textId="77777777" w:rsidR="00834AC6" w:rsidRDefault="00834AC6" w:rsidP="00EE0810">
            <w:pPr>
              <w:rPr>
                <w:rFonts w:ascii="Calibri" w:hAnsi="Calibri" w:cs="Calibri"/>
                <w:noProof/>
                <w:sz w:val="18"/>
                <w:szCs w:val="18"/>
              </w:rPr>
            </w:pPr>
          </w:p>
          <w:p w14:paraId="6BE4FB6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6:45-7:30 PM</w:t>
            </w:r>
          </w:p>
        </w:tc>
      </w:tr>
      <w:tr w:rsidR="00890FA4" w:rsidRPr="00D03374" w14:paraId="2FC37262" w14:textId="77777777" w:rsidTr="00EE0810">
        <w:trPr>
          <w:trHeight w:val="424"/>
        </w:trPr>
        <w:tc>
          <w:tcPr>
            <w:tcW w:w="1615" w:type="dxa"/>
            <w:vMerge/>
          </w:tcPr>
          <w:p w14:paraId="22C389A3" w14:textId="77777777" w:rsidR="00890FA4" w:rsidRPr="00D03374" w:rsidRDefault="00890FA4" w:rsidP="00EE0810">
            <w:pPr>
              <w:rPr>
                <w:rFonts w:ascii="Calibri" w:hAnsi="Calibri" w:cs="Calibri"/>
                <w:sz w:val="18"/>
                <w:szCs w:val="18"/>
              </w:rPr>
            </w:pPr>
          </w:p>
        </w:tc>
        <w:tc>
          <w:tcPr>
            <w:tcW w:w="2770" w:type="dxa"/>
            <w:vMerge/>
          </w:tcPr>
          <w:p w14:paraId="42840430" w14:textId="77777777" w:rsidR="00890FA4" w:rsidRPr="00D03374" w:rsidRDefault="00890FA4" w:rsidP="00EE0810">
            <w:pPr>
              <w:rPr>
                <w:rFonts w:ascii="Calibri" w:hAnsi="Calibri" w:cs="Calibri"/>
                <w:sz w:val="18"/>
                <w:szCs w:val="18"/>
              </w:rPr>
            </w:pPr>
          </w:p>
        </w:tc>
        <w:tc>
          <w:tcPr>
            <w:tcW w:w="1577" w:type="dxa"/>
            <w:vMerge/>
          </w:tcPr>
          <w:p w14:paraId="5DA17456" w14:textId="77777777" w:rsidR="00890FA4" w:rsidRPr="00D03374" w:rsidRDefault="00890FA4" w:rsidP="00EE0810">
            <w:pPr>
              <w:rPr>
                <w:rFonts w:ascii="Calibri" w:hAnsi="Calibri" w:cs="Calibri"/>
                <w:sz w:val="18"/>
                <w:szCs w:val="18"/>
              </w:rPr>
            </w:pPr>
          </w:p>
        </w:tc>
        <w:tc>
          <w:tcPr>
            <w:tcW w:w="1628" w:type="dxa"/>
            <w:vMerge/>
          </w:tcPr>
          <w:p w14:paraId="15F8EB59" w14:textId="77777777" w:rsidR="00890FA4" w:rsidRPr="00D03374" w:rsidRDefault="00890FA4" w:rsidP="00EE0810">
            <w:pPr>
              <w:rPr>
                <w:rFonts w:ascii="Calibri" w:hAnsi="Calibri" w:cs="Calibri"/>
                <w:sz w:val="18"/>
                <w:szCs w:val="18"/>
              </w:rPr>
            </w:pPr>
          </w:p>
        </w:tc>
        <w:tc>
          <w:tcPr>
            <w:tcW w:w="1760" w:type="dxa"/>
          </w:tcPr>
          <w:p w14:paraId="0969829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127E04F0" w14:textId="77777777" w:rsidTr="00EE0810">
        <w:trPr>
          <w:trHeight w:val="425"/>
        </w:trPr>
        <w:tc>
          <w:tcPr>
            <w:tcW w:w="1615" w:type="dxa"/>
            <w:vMerge w:val="restart"/>
          </w:tcPr>
          <w:p w14:paraId="7807F4C9"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P-47</w:t>
            </w:r>
          </w:p>
        </w:tc>
        <w:tc>
          <w:tcPr>
            <w:tcW w:w="2770" w:type="dxa"/>
            <w:vMerge w:val="restart"/>
          </w:tcPr>
          <w:p w14:paraId="6446C56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Assessing the antimicrobial potential of soil-derived isolates against safe ESKAPE pathogens</w:t>
            </w:r>
          </w:p>
        </w:tc>
        <w:tc>
          <w:tcPr>
            <w:tcW w:w="1577" w:type="dxa"/>
            <w:vMerge w:val="restart"/>
          </w:tcPr>
          <w:p w14:paraId="0A0F8FA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Guiang, Adriel*, Stephanie Mathews</w:t>
            </w:r>
          </w:p>
        </w:tc>
        <w:tc>
          <w:tcPr>
            <w:tcW w:w="1628" w:type="dxa"/>
            <w:vMerge w:val="restart"/>
          </w:tcPr>
          <w:p w14:paraId="1205E87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North Carolina State University</w:t>
            </w:r>
          </w:p>
        </w:tc>
        <w:tc>
          <w:tcPr>
            <w:tcW w:w="1760" w:type="dxa"/>
          </w:tcPr>
          <w:p w14:paraId="07B3A99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42A18D65" w14:textId="77777777" w:rsidTr="00EE0810">
        <w:trPr>
          <w:trHeight w:val="424"/>
        </w:trPr>
        <w:tc>
          <w:tcPr>
            <w:tcW w:w="1615" w:type="dxa"/>
            <w:vMerge/>
          </w:tcPr>
          <w:p w14:paraId="07902111" w14:textId="77777777" w:rsidR="00890FA4" w:rsidRPr="00D03374" w:rsidRDefault="00890FA4" w:rsidP="00EE0810">
            <w:pPr>
              <w:rPr>
                <w:rFonts w:ascii="Calibri" w:hAnsi="Calibri" w:cs="Calibri"/>
                <w:sz w:val="18"/>
                <w:szCs w:val="18"/>
              </w:rPr>
            </w:pPr>
          </w:p>
        </w:tc>
        <w:tc>
          <w:tcPr>
            <w:tcW w:w="2770" w:type="dxa"/>
            <w:vMerge/>
          </w:tcPr>
          <w:p w14:paraId="3F512D4B" w14:textId="77777777" w:rsidR="00890FA4" w:rsidRPr="00D03374" w:rsidRDefault="00890FA4" w:rsidP="00EE0810">
            <w:pPr>
              <w:rPr>
                <w:rFonts w:ascii="Calibri" w:hAnsi="Calibri" w:cs="Calibri"/>
                <w:sz w:val="18"/>
                <w:szCs w:val="18"/>
              </w:rPr>
            </w:pPr>
          </w:p>
        </w:tc>
        <w:tc>
          <w:tcPr>
            <w:tcW w:w="1577" w:type="dxa"/>
            <w:vMerge/>
          </w:tcPr>
          <w:p w14:paraId="28435EDA" w14:textId="77777777" w:rsidR="00890FA4" w:rsidRPr="00D03374" w:rsidRDefault="00890FA4" w:rsidP="00EE0810">
            <w:pPr>
              <w:rPr>
                <w:rFonts w:ascii="Calibri" w:hAnsi="Calibri" w:cs="Calibri"/>
                <w:sz w:val="18"/>
                <w:szCs w:val="18"/>
              </w:rPr>
            </w:pPr>
          </w:p>
        </w:tc>
        <w:tc>
          <w:tcPr>
            <w:tcW w:w="1628" w:type="dxa"/>
            <w:vMerge/>
          </w:tcPr>
          <w:p w14:paraId="3B9AAB69" w14:textId="77777777" w:rsidR="00890FA4" w:rsidRPr="00D03374" w:rsidRDefault="00890FA4" w:rsidP="00EE0810">
            <w:pPr>
              <w:rPr>
                <w:rFonts w:ascii="Calibri" w:hAnsi="Calibri" w:cs="Calibri"/>
                <w:sz w:val="18"/>
                <w:szCs w:val="18"/>
              </w:rPr>
            </w:pPr>
          </w:p>
        </w:tc>
        <w:tc>
          <w:tcPr>
            <w:tcW w:w="1760" w:type="dxa"/>
          </w:tcPr>
          <w:p w14:paraId="37AEA94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71916A12" w14:textId="77777777" w:rsidTr="00EE0810">
        <w:trPr>
          <w:trHeight w:val="425"/>
        </w:trPr>
        <w:tc>
          <w:tcPr>
            <w:tcW w:w="1615" w:type="dxa"/>
            <w:vMerge w:val="restart"/>
          </w:tcPr>
          <w:p w14:paraId="4ABA2BCA"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P-48</w:t>
            </w:r>
          </w:p>
        </w:tc>
        <w:tc>
          <w:tcPr>
            <w:tcW w:w="2770" w:type="dxa"/>
            <w:vMerge w:val="restart"/>
          </w:tcPr>
          <w:p w14:paraId="632EC4E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Comparative analysis of Staphylococcus aureus susceptibility to green and chemically synthesized silver nanoparticles and combined antibacterial efficacy</w:t>
            </w:r>
          </w:p>
        </w:tc>
        <w:tc>
          <w:tcPr>
            <w:tcW w:w="1577" w:type="dxa"/>
            <w:vMerge w:val="restart"/>
          </w:tcPr>
          <w:p w14:paraId="144436D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Jordan, Queenie* Akamu Ewunkem</w:t>
            </w:r>
          </w:p>
        </w:tc>
        <w:tc>
          <w:tcPr>
            <w:tcW w:w="1628" w:type="dxa"/>
            <w:vMerge w:val="restart"/>
          </w:tcPr>
          <w:p w14:paraId="17F9CCE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65365CC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44FE8455" w14:textId="77777777" w:rsidTr="00EE0810">
        <w:trPr>
          <w:trHeight w:val="424"/>
        </w:trPr>
        <w:tc>
          <w:tcPr>
            <w:tcW w:w="1615" w:type="dxa"/>
            <w:vMerge/>
          </w:tcPr>
          <w:p w14:paraId="729F2E72" w14:textId="77777777" w:rsidR="00890FA4" w:rsidRPr="00D03374" w:rsidRDefault="00890FA4" w:rsidP="00EE0810">
            <w:pPr>
              <w:rPr>
                <w:rFonts w:ascii="Calibri" w:hAnsi="Calibri" w:cs="Calibri"/>
                <w:sz w:val="18"/>
                <w:szCs w:val="18"/>
              </w:rPr>
            </w:pPr>
          </w:p>
        </w:tc>
        <w:tc>
          <w:tcPr>
            <w:tcW w:w="2770" w:type="dxa"/>
            <w:vMerge/>
          </w:tcPr>
          <w:p w14:paraId="5FC5B9A2" w14:textId="77777777" w:rsidR="00890FA4" w:rsidRPr="00D03374" w:rsidRDefault="00890FA4" w:rsidP="00EE0810">
            <w:pPr>
              <w:rPr>
                <w:rFonts w:ascii="Calibri" w:hAnsi="Calibri" w:cs="Calibri"/>
                <w:sz w:val="18"/>
                <w:szCs w:val="18"/>
              </w:rPr>
            </w:pPr>
          </w:p>
        </w:tc>
        <w:tc>
          <w:tcPr>
            <w:tcW w:w="1577" w:type="dxa"/>
            <w:vMerge/>
          </w:tcPr>
          <w:p w14:paraId="3F6F5D2F" w14:textId="77777777" w:rsidR="00890FA4" w:rsidRPr="00D03374" w:rsidRDefault="00890FA4" w:rsidP="00EE0810">
            <w:pPr>
              <w:rPr>
                <w:rFonts w:ascii="Calibri" w:hAnsi="Calibri" w:cs="Calibri"/>
                <w:sz w:val="18"/>
                <w:szCs w:val="18"/>
              </w:rPr>
            </w:pPr>
          </w:p>
        </w:tc>
        <w:tc>
          <w:tcPr>
            <w:tcW w:w="1628" w:type="dxa"/>
            <w:vMerge/>
          </w:tcPr>
          <w:p w14:paraId="2E56AC0B" w14:textId="77777777" w:rsidR="00890FA4" w:rsidRPr="00D03374" w:rsidRDefault="00890FA4" w:rsidP="00EE0810">
            <w:pPr>
              <w:rPr>
                <w:rFonts w:ascii="Calibri" w:hAnsi="Calibri" w:cs="Calibri"/>
                <w:sz w:val="18"/>
                <w:szCs w:val="18"/>
              </w:rPr>
            </w:pPr>
          </w:p>
        </w:tc>
        <w:tc>
          <w:tcPr>
            <w:tcW w:w="1760" w:type="dxa"/>
          </w:tcPr>
          <w:p w14:paraId="4E12DEE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273183DE" w14:textId="77777777" w:rsidTr="00EE0810">
        <w:trPr>
          <w:trHeight w:val="425"/>
        </w:trPr>
        <w:tc>
          <w:tcPr>
            <w:tcW w:w="1615" w:type="dxa"/>
            <w:vMerge w:val="restart"/>
          </w:tcPr>
          <w:p w14:paraId="73279C19"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P-49</w:t>
            </w:r>
          </w:p>
        </w:tc>
        <w:tc>
          <w:tcPr>
            <w:tcW w:w="2770" w:type="dxa"/>
            <w:vMerge w:val="restart"/>
          </w:tcPr>
          <w:p w14:paraId="519C688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In vitro antibacterial efficacy of Calendula officinalis against resistant clinical isolates</w:t>
            </w:r>
          </w:p>
        </w:tc>
        <w:tc>
          <w:tcPr>
            <w:tcW w:w="1577" w:type="dxa"/>
            <w:vMerge w:val="restart"/>
          </w:tcPr>
          <w:p w14:paraId="7862462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Parrott Carlin*  Akamu Ewunkem</w:t>
            </w:r>
          </w:p>
        </w:tc>
        <w:tc>
          <w:tcPr>
            <w:tcW w:w="1628" w:type="dxa"/>
            <w:vMerge w:val="restart"/>
          </w:tcPr>
          <w:p w14:paraId="6D291FF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5DBC987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60796C80" w14:textId="77777777" w:rsidTr="00EE0810">
        <w:trPr>
          <w:trHeight w:val="424"/>
        </w:trPr>
        <w:tc>
          <w:tcPr>
            <w:tcW w:w="1615" w:type="dxa"/>
            <w:vMerge/>
          </w:tcPr>
          <w:p w14:paraId="319C9A71" w14:textId="77777777" w:rsidR="00890FA4" w:rsidRPr="00D03374" w:rsidRDefault="00890FA4" w:rsidP="00EE0810">
            <w:pPr>
              <w:rPr>
                <w:rFonts w:ascii="Calibri" w:hAnsi="Calibri" w:cs="Calibri"/>
                <w:sz w:val="18"/>
                <w:szCs w:val="18"/>
              </w:rPr>
            </w:pPr>
          </w:p>
        </w:tc>
        <w:tc>
          <w:tcPr>
            <w:tcW w:w="2770" w:type="dxa"/>
            <w:vMerge/>
          </w:tcPr>
          <w:p w14:paraId="5FDD9CC4" w14:textId="77777777" w:rsidR="00890FA4" w:rsidRPr="00D03374" w:rsidRDefault="00890FA4" w:rsidP="00EE0810">
            <w:pPr>
              <w:rPr>
                <w:rFonts w:ascii="Calibri" w:hAnsi="Calibri" w:cs="Calibri"/>
                <w:sz w:val="18"/>
                <w:szCs w:val="18"/>
              </w:rPr>
            </w:pPr>
          </w:p>
        </w:tc>
        <w:tc>
          <w:tcPr>
            <w:tcW w:w="1577" w:type="dxa"/>
            <w:vMerge/>
          </w:tcPr>
          <w:p w14:paraId="53D4027D" w14:textId="77777777" w:rsidR="00890FA4" w:rsidRPr="00D03374" w:rsidRDefault="00890FA4" w:rsidP="00EE0810">
            <w:pPr>
              <w:rPr>
                <w:rFonts w:ascii="Calibri" w:hAnsi="Calibri" w:cs="Calibri"/>
                <w:sz w:val="18"/>
                <w:szCs w:val="18"/>
              </w:rPr>
            </w:pPr>
          </w:p>
        </w:tc>
        <w:tc>
          <w:tcPr>
            <w:tcW w:w="1628" w:type="dxa"/>
            <w:vMerge/>
          </w:tcPr>
          <w:p w14:paraId="077055D9" w14:textId="77777777" w:rsidR="00890FA4" w:rsidRPr="00D03374" w:rsidRDefault="00890FA4" w:rsidP="00EE0810">
            <w:pPr>
              <w:rPr>
                <w:rFonts w:ascii="Calibri" w:hAnsi="Calibri" w:cs="Calibri"/>
                <w:sz w:val="18"/>
                <w:szCs w:val="18"/>
              </w:rPr>
            </w:pPr>
          </w:p>
        </w:tc>
        <w:tc>
          <w:tcPr>
            <w:tcW w:w="1760" w:type="dxa"/>
          </w:tcPr>
          <w:p w14:paraId="7B9A108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541FDCCA" w14:textId="77777777" w:rsidTr="00EE0810">
        <w:trPr>
          <w:trHeight w:val="425"/>
        </w:trPr>
        <w:tc>
          <w:tcPr>
            <w:tcW w:w="1615" w:type="dxa"/>
            <w:vMerge w:val="restart"/>
          </w:tcPr>
          <w:p w14:paraId="2D4459C5"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P-50</w:t>
            </w:r>
          </w:p>
        </w:tc>
        <w:tc>
          <w:tcPr>
            <w:tcW w:w="2770" w:type="dxa"/>
            <w:vMerge w:val="restart"/>
          </w:tcPr>
          <w:p w14:paraId="3234AA4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Evaluating Bacterial Characteristics in Response to Environmental Nutrient Changes</w:t>
            </w:r>
          </w:p>
        </w:tc>
        <w:tc>
          <w:tcPr>
            <w:tcW w:w="1577" w:type="dxa"/>
            <w:vMerge w:val="restart"/>
          </w:tcPr>
          <w:p w14:paraId="2975BCE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Robinson, Miah*, Jordan Matthews, Ariane Peralta, Ph.D., and Danielle Graham, Ph.D.</w:t>
            </w:r>
          </w:p>
        </w:tc>
        <w:tc>
          <w:tcPr>
            <w:tcW w:w="1628" w:type="dxa"/>
            <w:vMerge w:val="restart"/>
          </w:tcPr>
          <w:p w14:paraId="24DD234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East Carolina University, Fayetteville State University</w:t>
            </w:r>
          </w:p>
        </w:tc>
        <w:tc>
          <w:tcPr>
            <w:tcW w:w="1760" w:type="dxa"/>
          </w:tcPr>
          <w:p w14:paraId="529FB64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452C28AB" w14:textId="77777777" w:rsidTr="00EE0810">
        <w:trPr>
          <w:trHeight w:val="424"/>
        </w:trPr>
        <w:tc>
          <w:tcPr>
            <w:tcW w:w="1615" w:type="dxa"/>
            <w:vMerge/>
          </w:tcPr>
          <w:p w14:paraId="656610EA" w14:textId="77777777" w:rsidR="00890FA4" w:rsidRPr="00D03374" w:rsidRDefault="00890FA4" w:rsidP="00EE0810">
            <w:pPr>
              <w:rPr>
                <w:rFonts w:ascii="Calibri" w:hAnsi="Calibri" w:cs="Calibri"/>
                <w:sz w:val="18"/>
                <w:szCs w:val="18"/>
              </w:rPr>
            </w:pPr>
          </w:p>
        </w:tc>
        <w:tc>
          <w:tcPr>
            <w:tcW w:w="2770" w:type="dxa"/>
            <w:vMerge/>
          </w:tcPr>
          <w:p w14:paraId="17A3D18E" w14:textId="77777777" w:rsidR="00890FA4" w:rsidRPr="00D03374" w:rsidRDefault="00890FA4" w:rsidP="00EE0810">
            <w:pPr>
              <w:rPr>
                <w:rFonts w:ascii="Calibri" w:hAnsi="Calibri" w:cs="Calibri"/>
                <w:sz w:val="18"/>
                <w:szCs w:val="18"/>
              </w:rPr>
            </w:pPr>
          </w:p>
        </w:tc>
        <w:tc>
          <w:tcPr>
            <w:tcW w:w="1577" w:type="dxa"/>
            <w:vMerge/>
          </w:tcPr>
          <w:p w14:paraId="02AAE152" w14:textId="77777777" w:rsidR="00890FA4" w:rsidRPr="00D03374" w:rsidRDefault="00890FA4" w:rsidP="00EE0810">
            <w:pPr>
              <w:rPr>
                <w:rFonts w:ascii="Calibri" w:hAnsi="Calibri" w:cs="Calibri"/>
                <w:sz w:val="18"/>
                <w:szCs w:val="18"/>
              </w:rPr>
            </w:pPr>
          </w:p>
        </w:tc>
        <w:tc>
          <w:tcPr>
            <w:tcW w:w="1628" w:type="dxa"/>
            <w:vMerge/>
          </w:tcPr>
          <w:p w14:paraId="7092CB1F" w14:textId="77777777" w:rsidR="00890FA4" w:rsidRPr="00D03374" w:rsidRDefault="00890FA4" w:rsidP="00EE0810">
            <w:pPr>
              <w:rPr>
                <w:rFonts w:ascii="Calibri" w:hAnsi="Calibri" w:cs="Calibri"/>
                <w:sz w:val="18"/>
                <w:szCs w:val="18"/>
              </w:rPr>
            </w:pPr>
          </w:p>
        </w:tc>
        <w:tc>
          <w:tcPr>
            <w:tcW w:w="1760" w:type="dxa"/>
          </w:tcPr>
          <w:p w14:paraId="4A87574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6534850D" w14:textId="77777777" w:rsidTr="00EE0810">
        <w:trPr>
          <w:trHeight w:val="425"/>
        </w:trPr>
        <w:tc>
          <w:tcPr>
            <w:tcW w:w="1615" w:type="dxa"/>
            <w:vMerge w:val="restart"/>
          </w:tcPr>
          <w:p w14:paraId="4A20F4D9"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P-51</w:t>
            </w:r>
          </w:p>
        </w:tc>
        <w:tc>
          <w:tcPr>
            <w:tcW w:w="2770" w:type="dxa"/>
            <w:vMerge w:val="restart"/>
          </w:tcPr>
          <w:p w14:paraId="6D5E02A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 microfluidic biofilm-on-a-chip platform for evaluating antibiotic efficacy against bacterial biofilms</w:t>
            </w:r>
          </w:p>
        </w:tc>
        <w:tc>
          <w:tcPr>
            <w:tcW w:w="1577" w:type="dxa"/>
            <w:vMerge w:val="restart"/>
          </w:tcPr>
          <w:p w14:paraId="4A99522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Shah,Harnish1*, Thuanny B. Rios1, Nona Hashemi1, Tolulope Oyeniran1, Samuel M.D. Oliveira1,</w:t>
            </w:r>
          </w:p>
        </w:tc>
        <w:tc>
          <w:tcPr>
            <w:tcW w:w="1628" w:type="dxa"/>
            <w:vMerge w:val="restart"/>
          </w:tcPr>
          <w:p w14:paraId="76F1A21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¹Joint School of Nanoscience and Nanoengineering (JSNN),North Carolina Agricultural and Technical State University (NCAT),</w:t>
            </w:r>
          </w:p>
        </w:tc>
        <w:tc>
          <w:tcPr>
            <w:tcW w:w="1760" w:type="dxa"/>
          </w:tcPr>
          <w:p w14:paraId="2EE368B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5BEF34A" w14:textId="77777777" w:rsidTr="00EE0810">
        <w:trPr>
          <w:trHeight w:val="424"/>
        </w:trPr>
        <w:tc>
          <w:tcPr>
            <w:tcW w:w="1615" w:type="dxa"/>
            <w:vMerge/>
          </w:tcPr>
          <w:p w14:paraId="2AE11E63" w14:textId="77777777" w:rsidR="00890FA4" w:rsidRPr="00D03374" w:rsidRDefault="00890FA4" w:rsidP="00EE0810">
            <w:pPr>
              <w:rPr>
                <w:rFonts w:ascii="Calibri" w:hAnsi="Calibri" w:cs="Calibri"/>
                <w:sz w:val="18"/>
                <w:szCs w:val="18"/>
              </w:rPr>
            </w:pPr>
          </w:p>
        </w:tc>
        <w:tc>
          <w:tcPr>
            <w:tcW w:w="2770" w:type="dxa"/>
            <w:vMerge/>
          </w:tcPr>
          <w:p w14:paraId="19578D90" w14:textId="77777777" w:rsidR="00890FA4" w:rsidRPr="00D03374" w:rsidRDefault="00890FA4" w:rsidP="00EE0810">
            <w:pPr>
              <w:rPr>
                <w:rFonts w:ascii="Calibri" w:hAnsi="Calibri" w:cs="Calibri"/>
                <w:sz w:val="18"/>
                <w:szCs w:val="18"/>
              </w:rPr>
            </w:pPr>
          </w:p>
        </w:tc>
        <w:tc>
          <w:tcPr>
            <w:tcW w:w="1577" w:type="dxa"/>
            <w:vMerge/>
          </w:tcPr>
          <w:p w14:paraId="4EDE9FBC" w14:textId="77777777" w:rsidR="00890FA4" w:rsidRPr="00D03374" w:rsidRDefault="00890FA4" w:rsidP="00EE0810">
            <w:pPr>
              <w:rPr>
                <w:rFonts w:ascii="Calibri" w:hAnsi="Calibri" w:cs="Calibri"/>
                <w:sz w:val="18"/>
                <w:szCs w:val="18"/>
              </w:rPr>
            </w:pPr>
          </w:p>
        </w:tc>
        <w:tc>
          <w:tcPr>
            <w:tcW w:w="1628" w:type="dxa"/>
            <w:vMerge/>
          </w:tcPr>
          <w:p w14:paraId="4DA2C1A4" w14:textId="77777777" w:rsidR="00890FA4" w:rsidRPr="00D03374" w:rsidRDefault="00890FA4" w:rsidP="00EE0810">
            <w:pPr>
              <w:rPr>
                <w:rFonts w:ascii="Calibri" w:hAnsi="Calibri" w:cs="Calibri"/>
                <w:sz w:val="18"/>
                <w:szCs w:val="18"/>
              </w:rPr>
            </w:pPr>
          </w:p>
        </w:tc>
        <w:tc>
          <w:tcPr>
            <w:tcW w:w="1760" w:type="dxa"/>
          </w:tcPr>
          <w:p w14:paraId="77EBA25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09684A90" w14:textId="77777777" w:rsidTr="00EE0810">
        <w:trPr>
          <w:trHeight w:val="425"/>
        </w:trPr>
        <w:tc>
          <w:tcPr>
            <w:tcW w:w="1615" w:type="dxa"/>
            <w:vMerge w:val="restart"/>
          </w:tcPr>
          <w:p w14:paraId="29882D15"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P-52</w:t>
            </w:r>
          </w:p>
        </w:tc>
        <w:tc>
          <w:tcPr>
            <w:tcW w:w="2770" w:type="dxa"/>
            <w:vMerge w:val="restart"/>
          </w:tcPr>
          <w:p w14:paraId="6836583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The effects of L-nicotine on cricket (Acheta domesticus) behavior and fitness</w:t>
            </w:r>
          </w:p>
        </w:tc>
        <w:tc>
          <w:tcPr>
            <w:tcW w:w="1577" w:type="dxa"/>
            <w:vMerge w:val="restart"/>
          </w:tcPr>
          <w:p w14:paraId="07E425A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Luduvico, Nordan*, Xiaoping Pan</w:t>
            </w:r>
          </w:p>
        </w:tc>
        <w:tc>
          <w:tcPr>
            <w:tcW w:w="1628" w:type="dxa"/>
            <w:vMerge w:val="restart"/>
          </w:tcPr>
          <w:p w14:paraId="56855D6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East Carolina University</w:t>
            </w:r>
          </w:p>
        </w:tc>
        <w:tc>
          <w:tcPr>
            <w:tcW w:w="1760" w:type="dxa"/>
          </w:tcPr>
          <w:p w14:paraId="555DC55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9C47F52" w14:textId="77777777" w:rsidTr="00EE0810">
        <w:trPr>
          <w:trHeight w:val="424"/>
        </w:trPr>
        <w:tc>
          <w:tcPr>
            <w:tcW w:w="1615" w:type="dxa"/>
            <w:vMerge/>
          </w:tcPr>
          <w:p w14:paraId="01013362" w14:textId="77777777" w:rsidR="00890FA4" w:rsidRPr="00D03374" w:rsidRDefault="00890FA4" w:rsidP="00EE0810">
            <w:pPr>
              <w:rPr>
                <w:rFonts w:ascii="Calibri" w:hAnsi="Calibri" w:cs="Calibri"/>
                <w:sz w:val="18"/>
                <w:szCs w:val="18"/>
              </w:rPr>
            </w:pPr>
          </w:p>
        </w:tc>
        <w:tc>
          <w:tcPr>
            <w:tcW w:w="2770" w:type="dxa"/>
            <w:vMerge/>
          </w:tcPr>
          <w:p w14:paraId="261CEB81" w14:textId="77777777" w:rsidR="00890FA4" w:rsidRPr="00D03374" w:rsidRDefault="00890FA4" w:rsidP="00EE0810">
            <w:pPr>
              <w:rPr>
                <w:rFonts w:ascii="Calibri" w:hAnsi="Calibri" w:cs="Calibri"/>
                <w:sz w:val="18"/>
                <w:szCs w:val="18"/>
              </w:rPr>
            </w:pPr>
          </w:p>
        </w:tc>
        <w:tc>
          <w:tcPr>
            <w:tcW w:w="1577" w:type="dxa"/>
            <w:vMerge/>
          </w:tcPr>
          <w:p w14:paraId="3E83707B" w14:textId="77777777" w:rsidR="00890FA4" w:rsidRPr="00D03374" w:rsidRDefault="00890FA4" w:rsidP="00EE0810">
            <w:pPr>
              <w:rPr>
                <w:rFonts w:ascii="Calibri" w:hAnsi="Calibri" w:cs="Calibri"/>
                <w:sz w:val="18"/>
                <w:szCs w:val="18"/>
              </w:rPr>
            </w:pPr>
          </w:p>
        </w:tc>
        <w:tc>
          <w:tcPr>
            <w:tcW w:w="1628" w:type="dxa"/>
            <w:vMerge/>
          </w:tcPr>
          <w:p w14:paraId="537F0200" w14:textId="77777777" w:rsidR="00890FA4" w:rsidRPr="00D03374" w:rsidRDefault="00890FA4" w:rsidP="00EE0810">
            <w:pPr>
              <w:rPr>
                <w:rFonts w:ascii="Calibri" w:hAnsi="Calibri" w:cs="Calibri"/>
                <w:sz w:val="18"/>
                <w:szCs w:val="18"/>
              </w:rPr>
            </w:pPr>
          </w:p>
        </w:tc>
        <w:tc>
          <w:tcPr>
            <w:tcW w:w="1760" w:type="dxa"/>
          </w:tcPr>
          <w:p w14:paraId="4A7C9DF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5AD827DD" w14:textId="77777777" w:rsidTr="00EE0810">
        <w:trPr>
          <w:trHeight w:val="425"/>
        </w:trPr>
        <w:tc>
          <w:tcPr>
            <w:tcW w:w="1615" w:type="dxa"/>
            <w:vMerge w:val="restart"/>
          </w:tcPr>
          <w:p w14:paraId="725532EB"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P-53</w:t>
            </w:r>
          </w:p>
        </w:tc>
        <w:tc>
          <w:tcPr>
            <w:tcW w:w="2770" w:type="dxa"/>
            <w:vMerge w:val="restart"/>
          </w:tcPr>
          <w:p w14:paraId="498F622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Global Transcriptomic Profiling of Mouse Liver in Response to TNF-α Treatment</w:t>
            </w:r>
          </w:p>
        </w:tc>
        <w:tc>
          <w:tcPr>
            <w:tcW w:w="1577" w:type="dxa"/>
            <w:vMerge w:val="restart"/>
          </w:tcPr>
          <w:p w14:paraId="1CB6151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Abouzeid Nour*, Jia Zhenquan</w:t>
            </w:r>
          </w:p>
        </w:tc>
        <w:tc>
          <w:tcPr>
            <w:tcW w:w="1628" w:type="dxa"/>
            <w:vMerge w:val="restart"/>
          </w:tcPr>
          <w:p w14:paraId="1054DF4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Department of Biology, University of North Carolina at Greensboro</w:t>
            </w:r>
          </w:p>
        </w:tc>
        <w:tc>
          <w:tcPr>
            <w:tcW w:w="1760" w:type="dxa"/>
          </w:tcPr>
          <w:p w14:paraId="2306E6F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03CF6DBC" w14:textId="77777777" w:rsidTr="00EE0810">
        <w:trPr>
          <w:trHeight w:val="424"/>
        </w:trPr>
        <w:tc>
          <w:tcPr>
            <w:tcW w:w="1615" w:type="dxa"/>
            <w:vMerge/>
          </w:tcPr>
          <w:p w14:paraId="317E2CB7" w14:textId="77777777" w:rsidR="00890FA4" w:rsidRPr="00D03374" w:rsidRDefault="00890FA4" w:rsidP="00EE0810">
            <w:pPr>
              <w:rPr>
                <w:rFonts w:ascii="Calibri" w:hAnsi="Calibri" w:cs="Calibri"/>
                <w:sz w:val="18"/>
                <w:szCs w:val="18"/>
              </w:rPr>
            </w:pPr>
          </w:p>
        </w:tc>
        <w:tc>
          <w:tcPr>
            <w:tcW w:w="2770" w:type="dxa"/>
            <w:vMerge/>
          </w:tcPr>
          <w:p w14:paraId="508643BE" w14:textId="77777777" w:rsidR="00890FA4" w:rsidRPr="00D03374" w:rsidRDefault="00890FA4" w:rsidP="00EE0810">
            <w:pPr>
              <w:rPr>
                <w:rFonts w:ascii="Calibri" w:hAnsi="Calibri" w:cs="Calibri"/>
                <w:sz w:val="18"/>
                <w:szCs w:val="18"/>
              </w:rPr>
            </w:pPr>
          </w:p>
        </w:tc>
        <w:tc>
          <w:tcPr>
            <w:tcW w:w="1577" w:type="dxa"/>
            <w:vMerge/>
          </w:tcPr>
          <w:p w14:paraId="49E1B301" w14:textId="77777777" w:rsidR="00890FA4" w:rsidRPr="00D03374" w:rsidRDefault="00890FA4" w:rsidP="00EE0810">
            <w:pPr>
              <w:rPr>
                <w:rFonts w:ascii="Calibri" w:hAnsi="Calibri" w:cs="Calibri"/>
                <w:sz w:val="18"/>
                <w:szCs w:val="18"/>
              </w:rPr>
            </w:pPr>
          </w:p>
        </w:tc>
        <w:tc>
          <w:tcPr>
            <w:tcW w:w="1628" w:type="dxa"/>
            <w:vMerge/>
          </w:tcPr>
          <w:p w14:paraId="729D052D" w14:textId="77777777" w:rsidR="00890FA4" w:rsidRPr="00D03374" w:rsidRDefault="00890FA4" w:rsidP="00EE0810">
            <w:pPr>
              <w:rPr>
                <w:rFonts w:ascii="Calibri" w:hAnsi="Calibri" w:cs="Calibri"/>
                <w:sz w:val="18"/>
                <w:szCs w:val="18"/>
              </w:rPr>
            </w:pPr>
          </w:p>
        </w:tc>
        <w:tc>
          <w:tcPr>
            <w:tcW w:w="1760" w:type="dxa"/>
          </w:tcPr>
          <w:p w14:paraId="0CDC8B0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373CAFBE" w14:textId="77777777" w:rsidTr="00EE0810">
        <w:trPr>
          <w:trHeight w:val="425"/>
        </w:trPr>
        <w:tc>
          <w:tcPr>
            <w:tcW w:w="1615" w:type="dxa"/>
            <w:vMerge w:val="restart"/>
          </w:tcPr>
          <w:p w14:paraId="47B16A03"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P-54</w:t>
            </w:r>
          </w:p>
        </w:tc>
        <w:tc>
          <w:tcPr>
            <w:tcW w:w="2770" w:type="dxa"/>
            <w:vMerge w:val="restart"/>
          </w:tcPr>
          <w:p w14:paraId="7C3CCF1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Isolation of intervertebral disc from human donors for the analysis of collagen fibers in annulus fibrosis connective tissue</w:t>
            </w:r>
          </w:p>
        </w:tc>
        <w:tc>
          <w:tcPr>
            <w:tcW w:w="1577" w:type="dxa"/>
            <w:vMerge w:val="restart"/>
          </w:tcPr>
          <w:p w14:paraId="43E111E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Clark, Matthew, Meetra Qaderi*</w:t>
            </w:r>
          </w:p>
        </w:tc>
        <w:tc>
          <w:tcPr>
            <w:tcW w:w="1628" w:type="dxa"/>
            <w:vMerge w:val="restart"/>
          </w:tcPr>
          <w:p w14:paraId="2C778F8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01C9D6A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4A990CBF" w14:textId="77777777" w:rsidTr="00EE0810">
        <w:trPr>
          <w:trHeight w:val="424"/>
        </w:trPr>
        <w:tc>
          <w:tcPr>
            <w:tcW w:w="1615" w:type="dxa"/>
            <w:vMerge/>
          </w:tcPr>
          <w:p w14:paraId="2E2ED528" w14:textId="77777777" w:rsidR="00890FA4" w:rsidRPr="00D03374" w:rsidRDefault="00890FA4" w:rsidP="00EE0810">
            <w:pPr>
              <w:rPr>
                <w:rFonts w:ascii="Calibri" w:hAnsi="Calibri" w:cs="Calibri"/>
                <w:sz w:val="18"/>
                <w:szCs w:val="18"/>
              </w:rPr>
            </w:pPr>
          </w:p>
        </w:tc>
        <w:tc>
          <w:tcPr>
            <w:tcW w:w="2770" w:type="dxa"/>
            <w:vMerge/>
          </w:tcPr>
          <w:p w14:paraId="55B434CC" w14:textId="77777777" w:rsidR="00890FA4" w:rsidRPr="00D03374" w:rsidRDefault="00890FA4" w:rsidP="00EE0810">
            <w:pPr>
              <w:rPr>
                <w:rFonts w:ascii="Calibri" w:hAnsi="Calibri" w:cs="Calibri"/>
                <w:sz w:val="18"/>
                <w:szCs w:val="18"/>
              </w:rPr>
            </w:pPr>
          </w:p>
        </w:tc>
        <w:tc>
          <w:tcPr>
            <w:tcW w:w="1577" w:type="dxa"/>
            <w:vMerge/>
          </w:tcPr>
          <w:p w14:paraId="7D5A6B12" w14:textId="77777777" w:rsidR="00890FA4" w:rsidRPr="00D03374" w:rsidRDefault="00890FA4" w:rsidP="00EE0810">
            <w:pPr>
              <w:rPr>
                <w:rFonts w:ascii="Calibri" w:hAnsi="Calibri" w:cs="Calibri"/>
                <w:sz w:val="18"/>
                <w:szCs w:val="18"/>
              </w:rPr>
            </w:pPr>
          </w:p>
        </w:tc>
        <w:tc>
          <w:tcPr>
            <w:tcW w:w="1628" w:type="dxa"/>
            <w:vMerge/>
          </w:tcPr>
          <w:p w14:paraId="10CA8023" w14:textId="77777777" w:rsidR="00890FA4" w:rsidRPr="00D03374" w:rsidRDefault="00890FA4" w:rsidP="00EE0810">
            <w:pPr>
              <w:rPr>
                <w:rFonts w:ascii="Calibri" w:hAnsi="Calibri" w:cs="Calibri"/>
                <w:sz w:val="18"/>
                <w:szCs w:val="18"/>
              </w:rPr>
            </w:pPr>
          </w:p>
        </w:tc>
        <w:tc>
          <w:tcPr>
            <w:tcW w:w="1760" w:type="dxa"/>
          </w:tcPr>
          <w:p w14:paraId="43A2761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382FE16C" w14:textId="77777777" w:rsidTr="00EE0810">
        <w:trPr>
          <w:trHeight w:val="425"/>
        </w:trPr>
        <w:tc>
          <w:tcPr>
            <w:tcW w:w="1615" w:type="dxa"/>
            <w:vMerge w:val="restart"/>
          </w:tcPr>
          <w:p w14:paraId="6C8AE4A9"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P-55</w:t>
            </w:r>
          </w:p>
        </w:tc>
        <w:tc>
          <w:tcPr>
            <w:tcW w:w="2770" w:type="dxa"/>
            <w:vMerge w:val="restart"/>
          </w:tcPr>
          <w:p w14:paraId="2773091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Assessing Sunscreen Safety: A GC–MS Study of Benzene Contamination and Analytical Method Development</w:t>
            </w:r>
          </w:p>
        </w:tc>
        <w:tc>
          <w:tcPr>
            <w:tcW w:w="1577" w:type="dxa"/>
            <w:vMerge w:val="restart"/>
          </w:tcPr>
          <w:p w14:paraId="0330FEE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Escudero Cano, Marta</w:t>
            </w:r>
          </w:p>
        </w:tc>
        <w:tc>
          <w:tcPr>
            <w:tcW w:w="1628" w:type="dxa"/>
            <w:vMerge w:val="restart"/>
          </w:tcPr>
          <w:p w14:paraId="09AF3F82"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Lenior-Rhyne University</w:t>
            </w:r>
          </w:p>
        </w:tc>
        <w:tc>
          <w:tcPr>
            <w:tcW w:w="1760" w:type="dxa"/>
          </w:tcPr>
          <w:p w14:paraId="2324071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5F874D89" w14:textId="77777777" w:rsidTr="00EE0810">
        <w:trPr>
          <w:trHeight w:val="424"/>
        </w:trPr>
        <w:tc>
          <w:tcPr>
            <w:tcW w:w="1615" w:type="dxa"/>
            <w:vMerge/>
          </w:tcPr>
          <w:p w14:paraId="1FE7B70D" w14:textId="77777777" w:rsidR="00890FA4" w:rsidRPr="00D03374" w:rsidRDefault="00890FA4" w:rsidP="00EE0810">
            <w:pPr>
              <w:rPr>
                <w:rFonts w:ascii="Calibri" w:hAnsi="Calibri" w:cs="Calibri"/>
                <w:sz w:val="18"/>
                <w:szCs w:val="18"/>
              </w:rPr>
            </w:pPr>
          </w:p>
        </w:tc>
        <w:tc>
          <w:tcPr>
            <w:tcW w:w="2770" w:type="dxa"/>
            <w:vMerge/>
          </w:tcPr>
          <w:p w14:paraId="1766428B" w14:textId="77777777" w:rsidR="00890FA4" w:rsidRPr="00D03374" w:rsidRDefault="00890FA4" w:rsidP="00EE0810">
            <w:pPr>
              <w:rPr>
                <w:rFonts w:ascii="Calibri" w:hAnsi="Calibri" w:cs="Calibri"/>
                <w:sz w:val="18"/>
                <w:szCs w:val="18"/>
              </w:rPr>
            </w:pPr>
          </w:p>
        </w:tc>
        <w:tc>
          <w:tcPr>
            <w:tcW w:w="1577" w:type="dxa"/>
            <w:vMerge/>
          </w:tcPr>
          <w:p w14:paraId="491399A6" w14:textId="77777777" w:rsidR="00890FA4" w:rsidRPr="00D03374" w:rsidRDefault="00890FA4" w:rsidP="00EE0810">
            <w:pPr>
              <w:rPr>
                <w:rFonts w:ascii="Calibri" w:hAnsi="Calibri" w:cs="Calibri"/>
                <w:sz w:val="18"/>
                <w:szCs w:val="18"/>
              </w:rPr>
            </w:pPr>
          </w:p>
        </w:tc>
        <w:tc>
          <w:tcPr>
            <w:tcW w:w="1628" w:type="dxa"/>
            <w:vMerge/>
          </w:tcPr>
          <w:p w14:paraId="0FFA5644" w14:textId="77777777" w:rsidR="00890FA4" w:rsidRPr="00D03374" w:rsidRDefault="00890FA4" w:rsidP="00EE0810">
            <w:pPr>
              <w:rPr>
                <w:rFonts w:ascii="Calibri" w:hAnsi="Calibri" w:cs="Calibri"/>
                <w:sz w:val="18"/>
                <w:szCs w:val="18"/>
              </w:rPr>
            </w:pPr>
          </w:p>
        </w:tc>
        <w:tc>
          <w:tcPr>
            <w:tcW w:w="1760" w:type="dxa"/>
          </w:tcPr>
          <w:p w14:paraId="11CC23D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3694097D" w14:textId="77777777" w:rsidTr="00EE0810">
        <w:trPr>
          <w:trHeight w:val="425"/>
        </w:trPr>
        <w:tc>
          <w:tcPr>
            <w:tcW w:w="1615" w:type="dxa"/>
            <w:vMerge w:val="restart"/>
          </w:tcPr>
          <w:p w14:paraId="64B67295"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P-56</w:t>
            </w:r>
          </w:p>
        </w:tc>
        <w:tc>
          <w:tcPr>
            <w:tcW w:w="2770" w:type="dxa"/>
            <w:vMerge w:val="restart"/>
          </w:tcPr>
          <w:p w14:paraId="4656BAF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Effect of Estrogen on Male Pancreatic Cancer Cells</w:t>
            </w:r>
          </w:p>
        </w:tc>
        <w:tc>
          <w:tcPr>
            <w:tcW w:w="1577" w:type="dxa"/>
            <w:vMerge w:val="restart"/>
          </w:tcPr>
          <w:p w14:paraId="084F3A6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Fioramonti, Abigail* Amanda Roman, Yuko J. Miyamoto</w:t>
            </w:r>
          </w:p>
        </w:tc>
        <w:tc>
          <w:tcPr>
            <w:tcW w:w="1628" w:type="dxa"/>
            <w:vMerge w:val="restart"/>
          </w:tcPr>
          <w:p w14:paraId="627F218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4236422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700E1181" w14:textId="77777777" w:rsidTr="00EE0810">
        <w:trPr>
          <w:trHeight w:val="424"/>
        </w:trPr>
        <w:tc>
          <w:tcPr>
            <w:tcW w:w="1615" w:type="dxa"/>
            <w:vMerge/>
          </w:tcPr>
          <w:p w14:paraId="683CD2E7" w14:textId="77777777" w:rsidR="00890FA4" w:rsidRPr="00D03374" w:rsidRDefault="00890FA4" w:rsidP="00EE0810">
            <w:pPr>
              <w:rPr>
                <w:rFonts w:ascii="Calibri" w:hAnsi="Calibri" w:cs="Calibri"/>
                <w:sz w:val="18"/>
                <w:szCs w:val="18"/>
              </w:rPr>
            </w:pPr>
          </w:p>
        </w:tc>
        <w:tc>
          <w:tcPr>
            <w:tcW w:w="2770" w:type="dxa"/>
            <w:vMerge/>
          </w:tcPr>
          <w:p w14:paraId="0073E79A" w14:textId="77777777" w:rsidR="00890FA4" w:rsidRPr="00D03374" w:rsidRDefault="00890FA4" w:rsidP="00EE0810">
            <w:pPr>
              <w:rPr>
                <w:rFonts w:ascii="Calibri" w:hAnsi="Calibri" w:cs="Calibri"/>
                <w:sz w:val="18"/>
                <w:szCs w:val="18"/>
              </w:rPr>
            </w:pPr>
          </w:p>
        </w:tc>
        <w:tc>
          <w:tcPr>
            <w:tcW w:w="1577" w:type="dxa"/>
            <w:vMerge/>
          </w:tcPr>
          <w:p w14:paraId="79889FD6" w14:textId="77777777" w:rsidR="00890FA4" w:rsidRPr="00D03374" w:rsidRDefault="00890FA4" w:rsidP="00EE0810">
            <w:pPr>
              <w:rPr>
                <w:rFonts w:ascii="Calibri" w:hAnsi="Calibri" w:cs="Calibri"/>
                <w:sz w:val="18"/>
                <w:szCs w:val="18"/>
              </w:rPr>
            </w:pPr>
          </w:p>
        </w:tc>
        <w:tc>
          <w:tcPr>
            <w:tcW w:w="1628" w:type="dxa"/>
            <w:vMerge/>
          </w:tcPr>
          <w:p w14:paraId="0968CAFC" w14:textId="77777777" w:rsidR="00890FA4" w:rsidRPr="00D03374" w:rsidRDefault="00890FA4" w:rsidP="00EE0810">
            <w:pPr>
              <w:rPr>
                <w:rFonts w:ascii="Calibri" w:hAnsi="Calibri" w:cs="Calibri"/>
                <w:sz w:val="18"/>
                <w:szCs w:val="18"/>
              </w:rPr>
            </w:pPr>
          </w:p>
        </w:tc>
        <w:tc>
          <w:tcPr>
            <w:tcW w:w="1760" w:type="dxa"/>
          </w:tcPr>
          <w:p w14:paraId="143FD65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28925B09" w14:textId="77777777" w:rsidTr="00EE0810">
        <w:trPr>
          <w:trHeight w:val="425"/>
        </w:trPr>
        <w:tc>
          <w:tcPr>
            <w:tcW w:w="1615" w:type="dxa"/>
            <w:vMerge w:val="restart"/>
          </w:tcPr>
          <w:p w14:paraId="66C27C85"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P-57</w:t>
            </w:r>
          </w:p>
        </w:tc>
        <w:tc>
          <w:tcPr>
            <w:tcW w:w="2770" w:type="dxa"/>
            <w:vMerge w:val="restart"/>
          </w:tcPr>
          <w:p w14:paraId="4E2FE17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Investigating Gut-Brain Interactions in Alzheimer’s Disease Through the Zebrafish Model</w:t>
            </w:r>
          </w:p>
        </w:tc>
        <w:tc>
          <w:tcPr>
            <w:tcW w:w="1577" w:type="dxa"/>
            <w:vMerge w:val="restart"/>
          </w:tcPr>
          <w:p w14:paraId="1DEA7D2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Graham, Fritz*, Fritz Graham</w:t>
            </w:r>
          </w:p>
        </w:tc>
        <w:tc>
          <w:tcPr>
            <w:tcW w:w="1628" w:type="dxa"/>
            <w:vMerge w:val="restart"/>
          </w:tcPr>
          <w:p w14:paraId="47D148D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42E3647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6172A57" w14:textId="77777777" w:rsidTr="00EE0810">
        <w:trPr>
          <w:trHeight w:val="424"/>
        </w:trPr>
        <w:tc>
          <w:tcPr>
            <w:tcW w:w="1615" w:type="dxa"/>
            <w:vMerge/>
          </w:tcPr>
          <w:p w14:paraId="11BB4363" w14:textId="77777777" w:rsidR="00890FA4" w:rsidRPr="00D03374" w:rsidRDefault="00890FA4" w:rsidP="00EE0810">
            <w:pPr>
              <w:rPr>
                <w:rFonts w:ascii="Calibri" w:hAnsi="Calibri" w:cs="Calibri"/>
                <w:sz w:val="18"/>
                <w:szCs w:val="18"/>
              </w:rPr>
            </w:pPr>
          </w:p>
        </w:tc>
        <w:tc>
          <w:tcPr>
            <w:tcW w:w="2770" w:type="dxa"/>
            <w:vMerge/>
          </w:tcPr>
          <w:p w14:paraId="5814DBA5" w14:textId="77777777" w:rsidR="00890FA4" w:rsidRPr="00D03374" w:rsidRDefault="00890FA4" w:rsidP="00EE0810">
            <w:pPr>
              <w:rPr>
                <w:rFonts w:ascii="Calibri" w:hAnsi="Calibri" w:cs="Calibri"/>
                <w:sz w:val="18"/>
                <w:szCs w:val="18"/>
              </w:rPr>
            </w:pPr>
          </w:p>
        </w:tc>
        <w:tc>
          <w:tcPr>
            <w:tcW w:w="1577" w:type="dxa"/>
            <w:vMerge/>
          </w:tcPr>
          <w:p w14:paraId="333B2900" w14:textId="77777777" w:rsidR="00890FA4" w:rsidRPr="00D03374" w:rsidRDefault="00890FA4" w:rsidP="00EE0810">
            <w:pPr>
              <w:rPr>
                <w:rFonts w:ascii="Calibri" w:hAnsi="Calibri" w:cs="Calibri"/>
                <w:sz w:val="18"/>
                <w:szCs w:val="18"/>
              </w:rPr>
            </w:pPr>
          </w:p>
        </w:tc>
        <w:tc>
          <w:tcPr>
            <w:tcW w:w="1628" w:type="dxa"/>
            <w:vMerge/>
          </w:tcPr>
          <w:p w14:paraId="7FA0B997" w14:textId="77777777" w:rsidR="00890FA4" w:rsidRPr="00D03374" w:rsidRDefault="00890FA4" w:rsidP="00EE0810">
            <w:pPr>
              <w:rPr>
                <w:rFonts w:ascii="Calibri" w:hAnsi="Calibri" w:cs="Calibri"/>
                <w:sz w:val="18"/>
                <w:szCs w:val="18"/>
              </w:rPr>
            </w:pPr>
          </w:p>
        </w:tc>
        <w:tc>
          <w:tcPr>
            <w:tcW w:w="1760" w:type="dxa"/>
          </w:tcPr>
          <w:p w14:paraId="53FCD8D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0B805BCB" w14:textId="77777777" w:rsidTr="00EE0810">
        <w:trPr>
          <w:trHeight w:val="425"/>
        </w:trPr>
        <w:tc>
          <w:tcPr>
            <w:tcW w:w="1615" w:type="dxa"/>
            <w:vMerge w:val="restart"/>
          </w:tcPr>
          <w:p w14:paraId="61BFFF9B"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lastRenderedPageBreak/>
              <w:t>P-58</w:t>
            </w:r>
          </w:p>
        </w:tc>
        <w:tc>
          <w:tcPr>
            <w:tcW w:w="2770" w:type="dxa"/>
            <w:vMerge w:val="restart"/>
          </w:tcPr>
          <w:p w14:paraId="1DBDB96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Comparative Analysis of Poliovirus in the U.S and Globally</w:t>
            </w:r>
          </w:p>
        </w:tc>
        <w:tc>
          <w:tcPr>
            <w:tcW w:w="1577" w:type="dxa"/>
            <w:vMerge w:val="restart"/>
          </w:tcPr>
          <w:p w14:paraId="127E3A9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Keen, Jonah*, Kindley, Violet*, Santos, Marilu</w:t>
            </w:r>
          </w:p>
        </w:tc>
        <w:tc>
          <w:tcPr>
            <w:tcW w:w="1628" w:type="dxa"/>
            <w:vMerge w:val="restart"/>
          </w:tcPr>
          <w:p w14:paraId="0F9AD06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University of North Carolina at Pembroke</w:t>
            </w:r>
          </w:p>
        </w:tc>
        <w:tc>
          <w:tcPr>
            <w:tcW w:w="1760" w:type="dxa"/>
          </w:tcPr>
          <w:p w14:paraId="413AE56D"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4E0E99C" w14:textId="77777777" w:rsidTr="00EE0810">
        <w:trPr>
          <w:trHeight w:val="424"/>
        </w:trPr>
        <w:tc>
          <w:tcPr>
            <w:tcW w:w="1615" w:type="dxa"/>
            <w:vMerge/>
          </w:tcPr>
          <w:p w14:paraId="564E4260" w14:textId="77777777" w:rsidR="00890FA4" w:rsidRPr="00D03374" w:rsidRDefault="00890FA4" w:rsidP="00EE0810">
            <w:pPr>
              <w:rPr>
                <w:rFonts w:ascii="Calibri" w:hAnsi="Calibri" w:cs="Calibri"/>
                <w:sz w:val="18"/>
                <w:szCs w:val="18"/>
              </w:rPr>
            </w:pPr>
          </w:p>
        </w:tc>
        <w:tc>
          <w:tcPr>
            <w:tcW w:w="2770" w:type="dxa"/>
            <w:vMerge/>
          </w:tcPr>
          <w:p w14:paraId="13554F98" w14:textId="77777777" w:rsidR="00890FA4" w:rsidRPr="00D03374" w:rsidRDefault="00890FA4" w:rsidP="00EE0810">
            <w:pPr>
              <w:rPr>
                <w:rFonts w:ascii="Calibri" w:hAnsi="Calibri" w:cs="Calibri"/>
                <w:sz w:val="18"/>
                <w:szCs w:val="18"/>
              </w:rPr>
            </w:pPr>
          </w:p>
        </w:tc>
        <w:tc>
          <w:tcPr>
            <w:tcW w:w="1577" w:type="dxa"/>
            <w:vMerge/>
          </w:tcPr>
          <w:p w14:paraId="4ADB3137" w14:textId="77777777" w:rsidR="00890FA4" w:rsidRPr="00D03374" w:rsidRDefault="00890FA4" w:rsidP="00EE0810">
            <w:pPr>
              <w:rPr>
                <w:rFonts w:ascii="Calibri" w:hAnsi="Calibri" w:cs="Calibri"/>
                <w:sz w:val="18"/>
                <w:szCs w:val="18"/>
              </w:rPr>
            </w:pPr>
          </w:p>
        </w:tc>
        <w:tc>
          <w:tcPr>
            <w:tcW w:w="1628" w:type="dxa"/>
            <w:vMerge/>
          </w:tcPr>
          <w:p w14:paraId="55FBF142" w14:textId="77777777" w:rsidR="00890FA4" w:rsidRPr="00D03374" w:rsidRDefault="00890FA4" w:rsidP="00EE0810">
            <w:pPr>
              <w:rPr>
                <w:rFonts w:ascii="Calibri" w:hAnsi="Calibri" w:cs="Calibri"/>
                <w:sz w:val="18"/>
                <w:szCs w:val="18"/>
              </w:rPr>
            </w:pPr>
          </w:p>
        </w:tc>
        <w:tc>
          <w:tcPr>
            <w:tcW w:w="1760" w:type="dxa"/>
          </w:tcPr>
          <w:p w14:paraId="3D63487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51C5DEEF" w14:textId="77777777" w:rsidTr="00EE0810">
        <w:trPr>
          <w:trHeight w:val="425"/>
        </w:trPr>
        <w:tc>
          <w:tcPr>
            <w:tcW w:w="1615" w:type="dxa"/>
            <w:vMerge w:val="restart"/>
          </w:tcPr>
          <w:p w14:paraId="636EC55C"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P-59</w:t>
            </w:r>
          </w:p>
        </w:tc>
        <w:tc>
          <w:tcPr>
            <w:tcW w:w="2770" w:type="dxa"/>
            <w:vMerge w:val="restart"/>
          </w:tcPr>
          <w:p w14:paraId="2B96436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Design of a novel neurodevelopmental disorder-associated TaoK1 mutant to access the impact on autophosphorylation and mammalian cell morphology.</w:t>
            </w:r>
          </w:p>
        </w:tc>
        <w:tc>
          <w:tcPr>
            <w:tcW w:w="1577" w:type="dxa"/>
            <w:vMerge w:val="restart"/>
          </w:tcPr>
          <w:p w14:paraId="3EA465E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Kidwell, Joseph*, Logan Nuckols, Karen Guzman</w:t>
            </w:r>
          </w:p>
        </w:tc>
        <w:tc>
          <w:tcPr>
            <w:tcW w:w="1628" w:type="dxa"/>
            <w:vMerge w:val="restart"/>
          </w:tcPr>
          <w:p w14:paraId="43E59A6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Campbell University</w:t>
            </w:r>
          </w:p>
        </w:tc>
        <w:tc>
          <w:tcPr>
            <w:tcW w:w="1760" w:type="dxa"/>
          </w:tcPr>
          <w:p w14:paraId="5A60E1D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C268E8F" w14:textId="77777777" w:rsidTr="00EE0810">
        <w:trPr>
          <w:trHeight w:val="424"/>
        </w:trPr>
        <w:tc>
          <w:tcPr>
            <w:tcW w:w="1615" w:type="dxa"/>
            <w:vMerge/>
          </w:tcPr>
          <w:p w14:paraId="2F065622" w14:textId="77777777" w:rsidR="00890FA4" w:rsidRPr="00D03374" w:rsidRDefault="00890FA4" w:rsidP="00EE0810">
            <w:pPr>
              <w:rPr>
                <w:rFonts w:ascii="Calibri" w:hAnsi="Calibri" w:cs="Calibri"/>
                <w:sz w:val="18"/>
                <w:szCs w:val="18"/>
              </w:rPr>
            </w:pPr>
          </w:p>
        </w:tc>
        <w:tc>
          <w:tcPr>
            <w:tcW w:w="2770" w:type="dxa"/>
            <w:vMerge/>
          </w:tcPr>
          <w:p w14:paraId="212331FE" w14:textId="77777777" w:rsidR="00890FA4" w:rsidRPr="00D03374" w:rsidRDefault="00890FA4" w:rsidP="00EE0810">
            <w:pPr>
              <w:rPr>
                <w:rFonts w:ascii="Calibri" w:hAnsi="Calibri" w:cs="Calibri"/>
                <w:sz w:val="18"/>
                <w:szCs w:val="18"/>
              </w:rPr>
            </w:pPr>
          </w:p>
        </w:tc>
        <w:tc>
          <w:tcPr>
            <w:tcW w:w="1577" w:type="dxa"/>
            <w:vMerge/>
          </w:tcPr>
          <w:p w14:paraId="5E41965E" w14:textId="77777777" w:rsidR="00890FA4" w:rsidRPr="00D03374" w:rsidRDefault="00890FA4" w:rsidP="00EE0810">
            <w:pPr>
              <w:rPr>
                <w:rFonts w:ascii="Calibri" w:hAnsi="Calibri" w:cs="Calibri"/>
                <w:sz w:val="18"/>
                <w:szCs w:val="18"/>
              </w:rPr>
            </w:pPr>
          </w:p>
        </w:tc>
        <w:tc>
          <w:tcPr>
            <w:tcW w:w="1628" w:type="dxa"/>
            <w:vMerge/>
          </w:tcPr>
          <w:p w14:paraId="15327DBA" w14:textId="77777777" w:rsidR="00890FA4" w:rsidRPr="00D03374" w:rsidRDefault="00890FA4" w:rsidP="00EE0810">
            <w:pPr>
              <w:rPr>
                <w:rFonts w:ascii="Calibri" w:hAnsi="Calibri" w:cs="Calibri"/>
                <w:sz w:val="18"/>
                <w:szCs w:val="18"/>
              </w:rPr>
            </w:pPr>
          </w:p>
        </w:tc>
        <w:tc>
          <w:tcPr>
            <w:tcW w:w="1760" w:type="dxa"/>
          </w:tcPr>
          <w:p w14:paraId="4D0DF96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2BB8EA3C" w14:textId="77777777" w:rsidTr="00EE0810">
        <w:trPr>
          <w:trHeight w:val="425"/>
        </w:trPr>
        <w:tc>
          <w:tcPr>
            <w:tcW w:w="1615" w:type="dxa"/>
            <w:vMerge w:val="restart"/>
          </w:tcPr>
          <w:p w14:paraId="5E37D41F"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P-60</w:t>
            </w:r>
          </w:p>
        </w:tc>
        <w:tc>
          <w:tcPr>
            <w:tcW w:w="2770" w:type="dxa"/>
            <w:vMerge w:val="restart"/>
          </w:tcPr>
          <w:p w14:paraId="1ED190BD"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Comparative Analysis of Poliovirus in the U.S and Globally</w:t>
            </w:r>
          </w:p>
        </w:tc>
        <w:tc>
          <w:tcPr>
            <w:tcW w:w="1577" w:type="dxa"/>
            <w:vMerge w:val="restart"/>
          </w:tcPr>
          <w:p w14:paraId="68AA769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Kindley, G. Violet*, Jonah  Keen, Marilu Santos</w:t>
            </w:r>
          </w:p>
        </w:tc>
        <w:tc>
          <w:tcPr>
            <w:tcW w:w="1628" w:type="dxa"/>
            <w:vMerge w:val="restart"/>
          </w:tcPr>
          <w:p w14:paraId="6E93F66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University of North Carolina at Pembroke</w:t>
            </w:r>
          </w:p>
        </w:tc>
        <w:tc>
          <w:tcPr>
            <w:tcW w:w="1760" w:type="dxa"/>
          </w:tcPr>
          <w:p w14:paraId="3D60200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56AD622" w14:textId="77777777" w:rsidTr="00EE0810">
        <w:trPr>
          <w:trHeight w:val="424"/>
        </w:trPr>
        <w:tc>
          <w:tcPr>
            <w:tcW w:w="1615" w:type="dxa"/>
            <w:vMerge/>
          </w:tcPr>
          <w:p w14:paraId="6FFEBCC9" w14:textId="77777777" w:rsidR="00890FA4" w:rsidRPr="00D03374" w:rsidRDefault="00890FA4" w:rsidP="00EE0810">
            <w:pPr>
              <w:rPr>
                <w:rFonts w:ascii="Calibri" w:hAnsi="Calibri" w:cs="Calibri"/>
                <w:sz w:val="18"/>
                <w:szCs w:val="18"/>
              </w:rPr>
            </w:pPr>
          </w:p>
        </w:tc>
        <w:tc>
          <w:tcPr>
            <w:tcW w:w="2770" w:type="dxa"/>
            <w:vMerge/>
          </w:tcPr>
          <w:p w14:paraId="1A9D65AE" w14:textId="77777777" w:rsidR="00890FA4" w:rsidRPr="00D03374" w:rsidRDefault="00890FA4" w:rsidP="00EE0810">
            <w:pPr>
              <w:rPr>
                <w:rFonts w:ascii="Calibri" w:hAnsi="Calibri" w:cs="Calibri"/>
                <w:sz w:val="18"/>
                <w:szCs w:val="18"/>
              </w:rPr>
            </w:pPr>
          </w:p>
        </w:tc>
        <w:tc>
          <w:tcPr>
            <w:tcW w:w="1577" w:type="dxa"/>
            <w:vMerge/>
          </w:tcPr>
          <w:p w14:paraId="23528507" w14:textId="77777777" w:rsidR="00890FA4" w:rsidRPr="00D03374" w:rsidRDefault="00890FA4" w:rsidP="00EE0810">
            <w:pPr>
              <w:rPr>
                <w:rFonts w:ascii="Calibri" w:hAnsi="Calibri" w:cs="Calibri"/>
                <w:sz w:val="18"/>
                <w:szCs w:val="18"/>
              </w:rPr>
            </w:pPr>
          </w:p>
        </w:tc>
        <w:tc>
          <w:tcPr>
            <w:tcW w:w="1628" w:type="dxa"/>
            <w:vMerge/>
          </w:tcPr>
          <w:p w14:paraId="2FC61597" w14:textId="77777777" w:rsidR="00890FA4" w:rsidRPr="00D03374" w:rsidRDefault="00890FA4" w:rsidP="00EE0810">
            <w:pPr>
              <w:rPr>
                <w:rFonts w:ascii="Calibri" w:hAnsi="Calibri" w:cs="Calibri"/>
                <w:sz w:val="18"/>
                <w:szCs w:val="18"/>
              </w:rPr>
            </w:pPr>
          </w:p>
        </w:tc>
        <w:tc>
          <w:tcPr>
            <w:tcW w:w="1760" w:type="dxa"/>
          </w:tcPr>
          <w:p w14:paraId="5D37169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6D90AE7F" w14:textId="77777777" w:rsidTr="00EE0810">
        <w:trPr>
          <w:trHeight w:val="425"/>
        </w:trPr>
        <w:tc>
          <w:tcPr>
            <w:tcW w:w="1615" w:type="dxa"/>
            <w:vMerge w:val="restart"/>
          </w:tcPr>
          <w:p w14:paraId="0EA59512"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P-61</w:t>
            </w:r>
          </w:p>
        </w:tc>
        <w:tc>
          <w:tcPr>
            <w:tcW w:w="2770" w:type="dxa"/>
            <w:vMerge w:val="restart"/>
          </w:tcPr>
          <w:p w14:paraId="0154884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The role of fusion proteins in the progression of pilocytic astrocytoma to glioblastoma</w:t>
            </w:r>
          </w:p>
        </w:tc>
        <w:tc>
          <w:tcPr>
            <w:tcW w:w="1577" w:type="dxa"/>
            <w:vMerge w:val="restart"/>
          </w:tcPr>
          <w:p w14:paraId="22FD53E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Ransford, Sienna*</w:t>
            </w:r>
          </w:p>
        </w:tc>
        <w:tc>
          <w:tcPr>
            <w:tcW w:w="1628" w:type="dxa"/>
            <w:vMerge w:val="restart"/>
          </w:tcPr>
          <w:p w14:paraId="6B898B2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16AC5DA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3FC89061" w14:textId="77777777" w:rsidTr="00EE0810">
        <w:trPr>
          <w:trHeight w:val="424"/>
        </w:trPr>
        <w:tc>
          <w:tcPr>
            <w:tcW w:w="1615" w:type="dxa"/>
            <w:vMerge/>
          </w:tcPr>
          <w:p w14:paraId="62832323" w14:textId="77777777" w:rsidR="00890FA4" w:rsidRPr="00D03374" w:rsidRDefault="00890FA4" w:rsidP="00EE0810">
            <w:pPr>
              <w:rPr>
                <w:rFonts w:ascii="Calibri" w:hAnsi="Calibri" w:cs="Calibri"/>
                <w:sz w:val="18"/>
                <w:szCs w:val="18"/>
              </w:rPr>
            </w:pPr>
          </w:p>
        </w:tc>
        <w:tc>
          <w:tcPr>
            <w:tcW w:w="2770" w:type="dxa"/>
            <w:vMerge/>
          </w:tcPr>
          <w:p w14:paraId="5BE7F039" w14:textId="77777777" w:rsidR="00890FA4" w:rsidRPr="00D03374" w:rsidRDefault="00890FA4" w:rsidP="00EE0810">
            <w:pPr>
              <w:rPr>
                <w:rFonts w:ascii="Calibri" w:hAnsi="Calibri" w:cs="Calibri"/>
                <w:sz w:val="18"/>
                <w:szCs w:val="18"/>
              </w:rPr>
            </w:pPr>
          </w:p>
        </w:tc>
        <w:tc>
          <w:tcPr>
            <w:tcW w:w="1577" w:type="dxa"/>
            <w:vMerge/>
          </w:tcPr>
          <w:p w14:paraId="6BF793DF" w14:textId="77777777" w:rsidR="00890FA4" w:rsidRPr="00D03374" w:rsidRDefault="00890FA4" w:rsidP="00EE0810">
            <w:pPr>
              <w:rPr>
                <w:rFonts w:ascii="Calibri" w:hAnsi="Calibri" w:cs="Calibri"/>
                <w:sz w:val="18"/>
                <w:szCs w:val="18"/>
              </w:rPr>
            </w:pPr>
          </w:p>
        </w:tc>
        <w:tc>
          <w:tcPr>
            <w:tcW w:w="1628" w:type="dxa"/>
            <w:vMerge/>
          </w:tcPr>
          <w:p w14:paraId="13F0B1B3" w14:textId="77777777" w:rsidR="00890FA4" w:rsidRPr="00D03374" w:rsidRDefault="00890FA4" w:rsidP="00EE0810">
            <w:pPr>
              <w:rPr>
                <w:rFonts w:ascii="Calibri" w:hAnsi="Calibri" w:cs="Calibri"/>
                <w:sz w:val="18"/>
                <w:szCs w:val="18"/>
              </w:rPr>
            </w:pPr>
          </w:p>
        </w:tc>
        <w:tc>
          <w:tcPr>
            <w:tcW w:w="1760" w:type="dxa"/>
          </w:tcPr>
          <w:p w14:paraId="13DDD1D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658E79C1" w14:textId="77777777" w:rsidTr="00EE0810">
        <w:trPr>
          <w:trHeight w:val="425"/>
        </w:trPr>
        <w:tc>
          <w:tcPr>
            <w:tcW w:w="1615" w:type="dxa"/>
            <w:vMerge w:val="restart"/>
          </w:tcPr>
          <w:p w14:paraId="0C57C091"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P-62</w:t>
            </w:r>
          </w:p>
        </w:tc>
        <w:tc>
          <w:tcPr>
            <w:tcW w:w="2770" w:type="dxa"/>
            <w:vMerge w:val="restart"/>
          </w:tcPr>
          <w:p w14:paraId="1D8340A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Effects of tef (eragrostis tef) supplementation on liver and kidney histomorphology in C57BL/6 mice fed low- and high-fat diets</w:t>
            </w:r>
          </w:p>
        </w:tc>
        <w:tc>
          <w:tcPr>
            <w:tcW w:w="1577" w:type="dxa"/>
            <w:vMerge w:val="restart"/>
          </w:tcPr>
          <w:p w14:paraId="4F545FE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Jernigan, Bertha*, Delicia Esther Cardenas Vasquez, Ashlyn Stone, Mohammad Omar, Kwame Darfour-Oduro, Kimberly Allred, Steve Fordahl (Mentor), Ayalew Osena (Mentor) and Zhenquan Jia (Mentor)</w:t>
            </w:r>
          </w:p>
        </w:tc>
        <w:tc>
          <w:tcPr>
            <w:tcW w:w="1628" w:type="dxa"/>
            <w:vMerge w:val="restart"/>
          </w:tcPr>
          <w:p w14:paraId="72EFBF7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University of North Carolina at Greensboro</w:t>
            </w:r>
          </w:p>
        </w:tc>
        <w:tc>
          <w:tcPr>
            <w:tcW w:w="1760" w:type="dxa"/>
          </w:tcPr>
          <w:p w14:paraId="7291FC7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5A6E217C" w14:textId="77777777" w:rsidTr="00EE0810">
        <w:trPr>
          <w:trHeight w:val="424"/>
        </w:trPr>
        <w:tc>
          <w:tcPr>
            <w:tcW w:w="1615" w:type="dxa"/>
            <w:vMerge/>
          </w:tcPr>
          <w:p w14:paraId="25E1C0F3" w14:textId="77777777" w:rsidR="00890FA4" w:rsidRPr="00D03374" w:rsidRDefault="00890FA4" w:rsidP="00EE0810">
            <w:pPr>
              <w:rPr>
                <w:rFonts w:ascii="Calibri" w:hAnsi="Calibri" w:cs="Calibri"/>
                <w:sz w:val="18"/>
                <w:szCs w:val="18"/>
              </w:rPr>
            </w:pPr>
          </w:p>
        </w:tc>
        <w:tc>
          <w:tcPr>
            <w:tcW w:w="2770" w:type="dxa"/>
            <w:vMerge/>
          </w:tcPr>
          <w:p w14:paraId="60B3E9F7" w14:textId="77777777" w:rsidR="00890FA4" w:rsidRPr="00D03374" w:rsidRDefault="00890FA4" w:rsidP="00EE0810">
            <w:pPr>
              <w:rPr>
                <w:rFonts w:ascii="Calibri" w:hAnsi="Calibri" w:cs="Calibri"/>
                <w:sz w:val="18"/>
                <w:szCs w:val="18"/>
              </w:rPr>
            </w:pPr>
          </w:p>
        </w:tc>
        <w:tc>
          <w:tcPr>
            <w:tcW w:w="1577" w:type="dxa"/>
            <w:vMerge/>
          </w:tcPr>
          <w:p w14:paraId="712391B4" w14:textId="77777777" w:rsidR="00890FA4" w:rsidRPr="00D03374" w:rsidRDefault="00890FA4" w:rsidP="00EE0810">
            <w:pPr>
              <w:rPr>
                <w:rFonts w:ascii="Calibri" w:hAnsi="Calibri" w:cs="Calibri"/>
                <w:sz w:val="18"/>
                <w:szCs w:val="18"/>
              </w:rPr>
            </w:pPr>
          </w:p>
        </w:tc>
        <w:tc>
          <w:tcPr>
            <w:tcW w:w="1628" w:type="dxa"/>
            <w:vMerge/>
          </w:tcPr>
          <w:p w14:paraId="7C999295" w14:textId="77777777" w:rsidR="00890FA4" w:rsidRPr="00D03374" w:rsidRDefault="00890FA4" w:rsidP="00EE0810">
            <w:pPr>
              <w:rPr>
                <w:rFonts w:ascii="Calibri" w:hAnsi="Calibri" w:cs="Calibri"/>
                <w:sz w:val="18"/>
                <w:szCs w:val="18"/>
              </w:rPr>
            </w:pPr>
          </w:p>
        </w:tc>
        <w:tc>
          <w:tcPr>
            <w:tcW w:w="1760" w:type="dxa"/>
          </w:tcPr>
          <w:p w14:paraId="2A99696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5445DE27" w14:textId="77777777" w:rsidTr="00EE0810">
        <w:trPr>
          <w:trHeight w:val="425"/>
        </w:trPr>
        <w:tc>
          <w:tcPr>
            <w:tcW w:w="1615" w:type="dxa"/>
            <w:vMerge w:val="restart"/>
          </w:tcPr>
          <w:p w14:paraId="4E07764D"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P-63</w:t>
            </w:r>
          </w:p>
        </w:tc>
        <w:tc>
          <w:tcPr>
            <w:tcW w:w="2770" w:type="dxa"/>
            <w:vMerge w:val="restart"/>
          </w:tcPr>
          <w:p w14:paraId="0F52432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Identification of human brain structural integrity using coronal-sectioning tissue isolation techniques and methodology; Set for utilizing Elon University’s Maker Hub technology, to improve visualization of regional integrity at different neuroanatomical</w:t>
            </w:r>
          </w:p>
        </w:tc>
        <w:tc>
          <w:tcPr>
            <w:tcW w:w="1577" w:type="dxa"/>
            <w:vMerge w:val="restart"/>
          </w:tcPr>
          <w:p w14:paraId="61E757E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Karcz, Jordyn*, Matthew Clark</w:t>
            </w:r>
          </w:p>
        </w:tc>
        <w:tc>
          <w:tcPr>
            <w:tcW w:w="1628" w:type="dxa"/>
            <w:vMerge w:val="restart"/>
          </w:tcPr>
          <w:p w14:paraId="03243B39"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2000A85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1197378A" w14:textId="77777777" w:rsidTr="00EE0810">
        <w:trPr>
          <w:trHeight w:val="424"/>
        </w:trPr>
        <w:tc>
          <w:tcPr>
            <w:tcW w:w="1615" w:type="dxa"/>
            <w:vMerge/>
          </w:tcPr>
          <w:p w14:paraId="17686DE4" w14:textId="77777777" w:rsidR="00890FA4" w:rsidRPr="00D03374" w:rsidRDefault="00890FA4" w:rsidP="00EE0810">
            <w:pPr>
              <w:rPr>
                <w:rFonts w:ascii="Calibri" w:hAnsi="Calibri" w:cs="Calibri"/>
                <w:sz w:val="18"/>
                <w:szCs w:val="18"/>
              </w:rPr>
            </w:pPr>
          </w:p>
        </w:tc>
        <w:tc>
          <w:tcPr>
            <w:tcW w:w="2770" w:type="dxa"/>
            <w:vMerge/>
          </w:tcPr>
          <w:p w14:paraId="1C4C70A3" w14:textId="77777777" w:rsidR="00890FA4" w:rsidRPr="00D03374" w:rsidRDefault="00890FA4" w:rsidP="00EE0810">
            <w:pPr>
              <w:rPr>
                <w:rFonts w:ascii="Calibri" w:hAnsi="Calibri" w:cs="Calibri"/>
                <w:sz w:val="18"/>
                <w:szCs w:val="18"/>
              </w:rPr>
            </w:pPr>
          </w:p>
        </w:tc>
        <w:tc>
          <w:tcPr>
            <w:tcW w:w="1577" w:type="dxa"/>
            <w:vMerge/>
          </w:tcPr>
          <w:p w14:paraId="3B89E885" w14:textId="77777777" w:rsidR="00890FA4" w:rsidRPr="00D03374" w:rsidRDefault="00890FA4" w:rsidP="00EE0810">
            <w:pPr>
              <w:rPr>
                <w:rFonts w:ascii="Calibri" w:hAnsi="Calibri" w:cs="Calibri"/>
                <w:sz w:val="18"/>
                <w:szCs w:val="18"/>
              </w:rPr>
            </w:pPr>
          </w:p>
        </w:tc>
        <w:tc>
          <w:tcPr>
            <w:tcW w:w="1628" w:type="dxa"/>
            <w:vMerge/>
          </w:tcPr>
          <w:p w14:paraId="34A9FED9" w14:textId="77777777" w:rsidR="00890FA4" w:rsidRPr="00D03374" w:rsidRDefault="00890FA4" w:rsidP="00EE0810">
            <w:pPr>
              <w:rPr>
                <w:rFonts w:ascii="Calibri" w:hAnsi="Calibri" w:cs="Calibri"/>
                <w:sz w:val="18"/>
                <w:szCs w:val="18"/>
              </w:rPr>
            </w:pPr>
          </w:p>
        </w:tc>
        <w:tc>
          <w:tcPr>
            <w:tcW w:w="1760" w:type="dxa"/>
          </w:tcPr>
          <w:p w14:paraId="78A29E13" w14:textId="77777777" w:rsidR="00890FA4" w:rsidRPr="00D03374" w:rsidRDefault="00890FA4" w:rsidP="00EE0810">
            <w:pPr>
              <w:rPr>
                <w:rFonts w:ascii="Calibri" w:hAnsi="Calibri" w:cs="Calibri"/>
                <w:sz w:val="18"/>
                <w:szCs w:val="18"/>
              </w:rPr>
            </w:pPr>
          </w:p>
        </w:tc>
      </w:tr>
      <w:tr w:rsidR="00890FA4" w:rsidRPr="00D03374" w14:paraId="1C1A7881" w14:textId="77777777" w:rsidTr="00EE0810">
        <w:trPr>
          <w:trHeight w:val="425"/>
        </w:trPr>
        <w:tc>
          <w:tcPr>
            <w:tcW w:w="1615" w:type="dxa"/>
            <w:vMerge w:val="restart"/>
          </w:tcPr>
          <w:p w14:paraId="713A6DB1"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P-64</w:t>
            </w:r>
          </w:p>
        </w:tc>
        <w:tc>
          <w:tcPr>
            <w:tcW w:w="2770" w:type="dxa"/>
            <w:vMerge w:val="restart"/>
          </w:tcPr>
          <w:p w14:paraId="698F00DB"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Stabilization of Alcohol Dehydrogenase by Tardigrade-Specific Cytosolic Abundant Heat Soluble Protein A</w:t>
            </w:r>
          </w:p>
        </w:tc>
        <w:tc>
          <w:tcPr>
            <w:tcW w:w="1577" w:type="dxa"/>
            <w:vMerge w:val="restart"/>
          </w:tcPr>
          <w:p w14:paraId="2E20BE9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Sinha, Ishaan*(12), Srestha Vuppala(12), Ishan Mandal(12), Brooke E. Christian(1)</w:t>
            </w:r>
          </w:p>
        </w:tc>
        <w:tc>
          <w:tcPr>
            <w:tcW w:w="1628" w:type="dxa"/>
            <w:vMerge w:val="restart"/>
          </w:tcPr>
          <w:p w14:paraId="393C189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1 Department of Chemistry, Appalachian State University, Boone, NC 28608, USA. 2 Summer Ventures in Science and Mathematics, North Carolina School of Science and Mathematics</w:t>
            </w:r>
          </w:p>
        </w:tc>
        <w:tc>
          <w:tcPr>
            <w:tcW w:w="1760" w:type="dxa"/>
          </w:tcPr>
          <w:p w14:paraId="518951F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15850F30" w14:textId="77777777" w:rsidTr="00EE0810">
        <w:trPr>
          <w:trHeight w:val="424"/>
        </w:trPr>
        <w:tc>
          <w:tcPr>
            <w:tcW w:w="1615" w:type="dxa"/>
            <w:vMerge/>
          </w:tcPr>
          <w:p w14:paraId="3E8DA56F" w14:textId="77777777" w:rsidR="00890FA4" w:rsidRPr="00D03374" w:rsidRDefault="00890FA4" w:rsidP="00EE0810">
            <w:pPr>
              <w:rPr>
                <w:rFonts w:ascii="Calibri" w:hAnsi="Calibri" w:cs="Calibri"/>
                <w:sz w:val="18"/>
                <w:szCs w:val="18"/>
              </w:rPr>
            </w:pPr>
          </w:p>
        </w:tc>
        <w:tc>
          <w:tcPr>
            <w:tcW w:w="2770" w:type="dxa"/>
            <w:vMerge/>
          </w:tcPr>
          <w:p w14:paraId="5B10727B" w14:textId="77777777" w:rsidR="00890FA4" w:rsidRPr="00D03374" w:rsidRDefault="00890FA4" w:rsidP="00EE0810">
            <w:pPr>
              <w:rPr>
                <w:rFonts w:ascii="Calibri" w:hAnsi="Calibri" w:cs="Calibri"/>
                <w:sz w:val="18"/>
                <w:szCs w:val="18"/>
              </w:rPr>
            </w:pPr>
          </w:p>
        </w:tc>
        <w:tc>
          <w:tcPr>
            <w:tcW w:w="1577" w:type="dxa"/>
            <w:vMerge/>
          </w:tcPr>
          <w:p w14:paraId="2104CCC0" w14:textId="77777777" w:rsidR="00890FA4" w:rsidRPr="00D03374" w:rsidRDefault="00890FA4" w:rsidP="00EE0810">
            <w:pPr>
              <w:rPr>
                <w:rFonts w:ascii="Calibri" w:hAnsi="Calibri" w:cs="Calibri"/>
                <w:sz w:val="18"/>
                <w:szCs w:val="18"/>
              </w:rPr>
            </w:pPr>
          </w:p>
        </w:tc>
        <w:tc>
          <w:tcPr>
            <w:tcW w:w="1628" w:type="dxa"/>
            <w:vMerge/>
          </w:tcPr>
          <w:p w14:paraId="502FA316" w14:textId="77777777" w:rsidR="00890FA4" w:rsidRPr="00D03374" w:rsidRDefault="00890FA4" w:rsidP="00EE0810">
            <w:pPr>
              <w:rPr>
                <w:rFonts w:ascii="Calibri" w:hAnsi="Calibri" w:cs="Calibri"/>
                <w:sz w:val="18"/>
                <w:szCs w:val="18"/>
              </w:rPr>
            </w:pPr>
          </w:p>
        </w:tc>
        <w:tc>
          <w:tcPr>
            <w:tcW w:w="1760" w:type="dxa"/>
          </w:tcPr>
          <w:p w14:paraId="4E906BD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042C9E81" w14:textId="77777777" w:rsidTr="00EE0810">
        <w:trPr>
          <w:trHeight w:val="425"/>
        </w:trPr>
        <w:tc>
          <w:tcPr>
            <w:tcW w:w="1615" w:type="dxa"/>
            <w:vMerge w:val="restart"/>
          </w:tcPr>
          <w:p w14:paraId="2CA46B3F"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P-65</w:t>
            </w:r>
          </w:p>
        </w:tc>
        <w:tc>
          <w:tcPr>
            <w:tcW w:w="2770" w:type="dxa"/>
            <w:vMerge w:val="restart"/>
          </w:tcPr>
          <w:p w14:paraId="3AB31C5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Evaluating Eugenol as a HOG-1 Dependent Osmotic Stress Mimetic in Saccharomyces cerevisiae</w:t>
            </w:r>
          </w:p>
        </w:tc>
        <w:tc>
          <w:tcPr>
            <w:tcW w:w="1577" w:type="dxa"/>
            <w:vMerge w:val="restart"/>
          </w:tcPr>
          <w:p w14:paraId="04520D6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Wondzi Precioius*, Velasquez Emily, Krishna Savitha, Ye Jing</w:t>
            </w:r>
          </w:p>
        </w:tc>
        <w:tc>
          <w:tcPr>
            <w:tcW w:w="1628" w:type="dxa"/>
            <w:vMerge w:val="restart"/>
          </w:tcPr>
          <w:p w14:paraId="5AD8977C"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Salem College</w:t>
            </w:r>
          </w:p>
        </w:tc>
        <w:tc>
          <w:tcPr>
            <w:tcW w:w="1760" w:type="dxa"/>
          </w:tcPr>
          <w:p w14:paraId="423847F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5443BA07" w14:textId="77777777" w:rsidTr="00EE0810">
        <w:trPr>
          <w:trHeight w:val="424"/>
        </w:trPr>
        <w:tc>
          <w:tcPr>
            <w:tcW w:w="1615" w:type="dxa"/>
            <w:vMerge/>
          </w:tcPr>
          <w:p w14:paraId="3EC965F3" w14:textId="77777777" w:rsidR="00890FA4" w:rsidRPr="00D03374" w:rsidRDefault="00890FA4" w:rsidP="00EE0810">
            <w:pPr>
              <w:rPr>
                <w:rFonts w:ascii="Calibri" w:hAnsi="Calibri" w:cs="Calibri"/>
                <w:sz w:val="18"/>
                <w:szCs w:val="18"/>
              </w:rPr>
            </w:pPr>
          </w:p>
        </w:tc>
        <w:tc>
          <w:tcPr>
            <w:tcW w:w="2770" w:type="dxa"/>
            <w:vMerge/>
          </w:tcPr>
          <w:p w14:paraId="4F58DFC3" w14:textId="77777777" w:rsidR="00890FA4" w:rsidRPr="00D03374" w:rsidRDefault="00890FA4" w:rsidP="00EE0810">
            <w:pPr>
              <w:rPr>
                <w:rFonts w:ascii="Calibri" w:hAnsi="Calibri" w:cs="Calibri"/>
                <w:sz w:val="18"/>
                <w:szCs w:val="18"/>
              </w:rPr>
            </w:pPr>
          </w:p>
        </w:tc>
        <w:tc>
          <w:tcPr>
            <w:tcW w:w="1577" w:type="dxa"/>
            <w:vMerge/>
          </w:tcPr>
          <w:p w14:paraId="1F8D166E" w14:textId="77777777" w:rsidR="00890FA4" w:rsidRPr="00D03374" w:rsidRDefault="00890FA4" w:rsidP="00EE0810">
            <w:pPr>
              <w:rPr>
                <w:rFonts w:ascii="Calibri" w:hAnsi="Calibri" w:cs="Calibri"/>
                <w:sz w:val="18"/>
                <w:szCs w:val="18"/>
              </w:rPr>
            </w:pPr>
          </w:p>
        </w:tc>
        <w:tc>
          <w:tcPr>
            <w:tcW w:w="1628" w:type="dxa"/>
            <w:vMerge/>
          </w:tcPr>
          <w:p w14:paraId="02A24498" w14:textId="77777777" w:rsidR="00890FA4" w:rsidRPr="00D03374" w:rsidRDefault="00890FA4" w:rsidP="00EE0810">
            <w:pPr>
              <w:rPr>
                <w:rFonts w:ascii="Calibri" w:hAnsi="Calibri" w:cs="Calibri"/>
                <w:sz w:val="18"/>
                <w:szCs w:val="18"/>
              </w:rPr>
            </w:pPr>
          </w:p>
        </w:tc>
        <w:tc>
          <w:tcPr>
            <w:tcW w:w="1760" w:type="dxa"/>
          </w:tcPr>
          <w:p w14:paraId="262E2B6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5FA04773" w14:textId="77777777" w:rsidTr="00EE0810">
        <w:trPr>
          <w:trHeight w:val="425"/>
        </w:trPr>
        <w:tc>
          <w:tcPr>
            <w:tcW w:w="1615" w:type="dxa"/>
            <w:vMerge w:val="restart"/>
          </w:tcPr>
          <w:p w14:paraId="6266DA9B" w14:textId="77777777" w:rsidR="008C72CD" w:rsidRDefault="008C72CD" w:rsidP="00EE0810">
            <w:pPr>
              <w:rPr>
                <w:rFonts w:ascii="Calibri" w:hAnsi="Calibri" w:cs="Calibri"/>
                <w:noProof/>
                <w:sz w:val="18"/>
                <w:szCs w:val="18"/>
              </w:rPr>
            </w:pPr>
          </w:p>
          <w:p w14:paraId="1DC4F95D" w14:textId="77777777" w:rsidR="008C72CD" w:rsidRDefault="008C72CD" w:rsidP="00EE0810">
            <w:pPr>
              <w:rPr>
                <w:rFonts w:ascii="Calibri" w:hAnsi="Calibri" w:cs="Calibri"/>
                <w:noProof/>
                <w:sz w:val="18"/>
                <w:szCs w:val="18"/>
              </w:rPr>
            </w:pPr>
          </w:p>
          <w:p w14:paraId="7C5E1DE5" w14:textId="77777777" w:rsidR="008C72CD" w:rsidRDefault="008C72CD" w:rsidP="00EE0810">
            <w:pPr>
              <w:rPr>
                <w:rFonts w:ascii="Calibri" w:hAnsi="Calibri" w:cs="Calibri"/>
                <w:noProof/>
                <w:sz w:val="18"/>
                <w:szCs w:val="18"/>
              </w:rPr>
            </w:pPr>
          </w:p>
          <w:p w14:paraId="45448472" w14:textId="289F2513"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lastRenderedPageBreak/>
              <w:t>P-66</w:t>
            </w:r>
          </w:p>
        </w:tc>
        <w:tc>
          <w:tcPr>
            <w:tcW w:w="2770" w:type="dxa"/>
            <w:vMerge w:val="restart"/>
          </w:tcPr>
          <w:p w14:paraId="459847ED" w14:textId="77777777" w:rsidR="008C72CD" w:rsidRDefault="008C72CD" w:rsidP="00EE0810">
            <w:pPr>
              <w:rPr>
                <w:rFonts w:ascii="Calibri" w:hAnsi="Calibri" w:cs="Calibri"/>
                <w:noProof/>
                <w:sz w:val="18"/>
                <w:szCs w:val="18"/>
              </w:rPr>
            </w:pPr>
          </w:p>
          <w:p w14:paraId="436F9F95" w14:textId="77777777" w:rsidR="008C72CD" w:rsidRDefault="008C72CD" w:rsidP="00EE0810">
            <w:pPr>
              <w:rPr>
                <w:rFonts w:ascii="Calibri" w:hAnsi="Calibri" w:cs="Calibri"/>
                <w:noProof/>
                <w:sz w:val="18"/>
                <w:szCs w:val="18"/>
              </w:rPr>
            </w:pPr>
          </w:p>
          <w:p w14:paraId="7099E473" w14:textId="41ADCBC8"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Predicting Health from the Oral Microbiome Using Machine Learning: A bioinformatics approach to identifying microbial patterns associated with health and rheumatoid arthritis</w:t>
            </w:r>
          </w:p>
        </w:tc>
        <w:tc>
          <w:tcPr>
            <w:tcW w:w="1577" w:type="dxa"/>
            <w:vMerge w:val="restart"/>
          </w:tcPr>
          <w:p w14:paraId="365150EB" w14:textId="77777777" w:rsidR="008C72CD" w:rsidRDefault="008C72CD" w:rsidP="00EE0810">
            <w:pPr>
              <w:rPr>
                <w:rFonts w:ascii="Calibri" w:hAnsi="Calibri" w:cs="Calibri"/>
                <w:noProof/>
                <w:sz w:val="18"/>
                <w:szCs w:val="18"/>
              </w:rPr>
            </w:pPr>
          </w:p>
          <w:p w14:paraId="2B4F5009" w14:textId="77777777" w:rsidR="008C72CD" w:rsidRDefault="008C72CD" w:rsidP="00EE0810">
            <w:pPr>
              <w:rPr>
                <w:rFonts w:ascii="Calibri" w:hAnsi="Calibri" w:cs="Calibri"/>
                <w:noProof/>
                <w:sz w:val="18"/>
                <w:szCs w:val="18"/>
              </w:rPr>
            </w:pPr>
          </w:p>
          <w:p w14:paraId="5ADE0437" w14:textId="2C49EE7F"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Jensen, Vivianna*, Ashley L. Bennett</w:t>
            </w:r>
          </w:p>
        </w:tc>
        <w:tc>
          <w:tcPr>
            <w:tcW w:w="1628" w:type="dxa"/>
            <w:vMerge w:val="restart"/>
          </w:tcPr>
          <w:p w14:paraId="477259C1" w14:textId="77777777" w:rsidR="008C72CD" w:rsidRDefault="008C72CD" w:rsidP="00EE0810">
            <w:pPr>
              <w:rPr>
                <w:rFonts w:ascii="Calibri" w:hAnsi="Calibri" w:cs="Calibri"/>
                <w:noProof/>
                <w:sz w:val="18"/>
                <w:szCs w:val="18"/>
              </w:rPr>
            </w:pPr>
          </w:p>
          <w:p w14:paraId="12549650" w14:textId="1CBE3134"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Barton College, Department of Biology</w:t>
            </w:r>
          </w:p>
        </w:tc>
        <w:tc>
          <w:tcPr>
            <w:tcW w:w="1760" w:type="dxa"/>
          </w:tcPr>
          <w:p w14:paraId="2A9988D0" w14:textId="77777777" w:rsidR="008C72CD" w:rsidRDefault="008C72CD" w:rsidP="00EE0810">
            <w:pPr>
              <w:rPr>
                <w:rFonts w:ascii="Calibri" w:hAnsi="Calibri" w:cs="Calibri"/>
                <w:noProof/>
                <w:sz w:val="18"/>
                <w:szCs w:val="18"/>
              </w:rPr>
            </w:pPr>
          </w:p>
          <w:p w14:paraId="78D9CA3D" w14:textId="77777777" w:rsidR="008C72CD" w:rsidRDefault="008C72CD" w:rsidP="00EE0810">
            <w:pPr>
              <w:rPr>
                <w:rFonts w:ascii="Calibri" w:hAnsi="Calibri" w:cs="Calibri"/>
                <w:noProof/>
                <w:sz w:val="18"/>
                <w:szCs w:val="18"/>
              </w:rPr>
            </w:pPr>
          </w:p>
          <w:p w14:paraId="16278AB0" w14:textId="77777777" w:rsidR="008C72CD" w:rsidRDefault="008C72CD" w:rsidP="00EE0810">
            <w:pPr>
              <w:rPr>
                <w:rFonts w:ascii="Calibri" w:hAnsi="Calibri" w:cs="Calibri"/>
                <w:noProof/>
                <w:sz w:val="18"/>
                <w:szCs w:val="18"/>
              </w:rPr>
            </w:pPr>
          </w:p>
          <w:p w14:paraId="521736DB" w14:textId="08EA0DFE" w:rsidR="00890FA4" w:rsidRPr="00D03374" w:rsidRDefault="00890FA4" w:rsidP="00EE0810">
            <w:pPr>
              <w:rPr>
                <w:rFonts w:ascii="Calibri" w:hAnsi="Calibri" w:cs="Calibri"/>
                <w:sz w:val="18"/>
                <w:szCs w:val="18"/>
              </w:rPr>
            </w:pPr>
            <w:r w:rsidRPr="00F6547B">
              <w:rPr>
                <w:rFonts w:ascii="Calibri" w:hAnsi="Calibri" w:cs="Calibri"/>
                <w:noProof/>
                <w:sz w:val="18"/>
                <w:szCs w:val="18"/>
              </w:rPr>
              <w:lastRenderedPageBreak/>
              <w:t>6:45-7:30 PM</w:t>
            </w:r>
          </w:p>
        </w:tc>
      </w:tr>
      <w:tr w:rsidR="00890FA4" w:rsidRPr="00D03374" w14:paraId="27FF8F31" w14:textId="77777777" w:rsidTr="00EE0810">
        <w:trPr>
          <w:trHeight w:val="424"/>
        </w:trPr>
        <w:tc>
          <w:tcPr>
            <w:tcW w:w="1615" w:type="dxa"/>
            <w:vMerge/>
          </w:tcPr>
          <w:p w14:paraId="22E1E317" w14:textId="77777777" w:rsidR="00890FA4" w:rsidRPr="00D03374" w:rsidRDefault="00890FA4" w:rsidP="00EE0810">
            <w:pPr>
              <w:rPr>
                <w:rFonts w:ascii="Calibri" w:hAnsi="Calibri" w:cs="Calibri"/>
                <w:sz w:val="18"/>
                <w:szCs w:val="18"/>
              </w:rPr>
            </w:pPr>
          </w:p>
        </w:tc>
        <w:tc>
          <w:tcPr>
            <w:tcW w:w="2770" w:type="dxa"/>
            <w:vMerge/>
          </w:tcPr>
          <w:p w14:paraId="4ED1BACD" w14:textId="77777777" w:rsidR="00890FA4" w:rsidRPr="00D03374" w:rsidRDefault="00890FA4" w:rsidP="00EE0810">
            <w:pPr>
              <w:rPr>
                <w:rFonts w:ascii="Calibri" w:hAnsi="Calibri" w:cs="Calibri"/>
                <w:sz w:val="18"/>
                <w:szCs w:val="18"/>
              </w:rPr>
            </w:pPr>
          </w:p>
        </w:tc>
        <w:tc>
          <w:tcPr>
            <w:tcW w:w="1577" w:type="dxa"/>
            <w:vMerge/>
          </w:tcPr>
          <w:p w14:paraId="5EF83552" w14:textId="77777777" w:rsidR="00890FA4" w:rsidRPr="00D03374" w:rsidRDefault="00890FA4" w:rsidP="00EE0810">
            <w:pPr>
              <w:rPr>
                <w:rFonts w:ascii="Calibri" w:hAnsi="Calibri" w:cs="Calibri"/>
                <w:sz w:val="18"/>
                <w:szCs w:val="18"/>
              </w:rPr>
            </w:pPr>
          </w:p>
        </w:tc>
        <w:tc>
          <w:tcPr>
            <w:tcW w:w="1628" w:type="dxa"/>
            <w:vMerge/>
          </w:tcPr>
          <w:p w14:paraId="73226560" w14:textId="77777777" w:rsidR="00890FA4" w:rsidRPr="00D03374" w:rsidRDefault="00890FA4" w:rsidP="00EE0810">
            <w:pPr>
              <w:rPr>
                <w:rFonts w:ascii="Calibri" w:hAnsi="Calibri" w:cs="Calibri"/>
                <w:sz w:val="18"/>
                <w:szCs w:val="18"/>
              </w:rPr>
            </w:pPr>
          </w:p>
        </w:tc>
        <w:tc>
          <w:tcPr>
            <w:tcW w:w="1760" w:type="dxa"/>
          </w:tcPr>
          <w:p w14:paraId="099804DF"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r w:rsidR="00890FA4" w:rsidRPr="00D03374" w14:paraId="4A2DDFA8" w14:textId="77777777" w:rsidTr="00EE0810">
        <w:trPr>
          <w:trHeight w:val="425"/>
        </w:trPr>
        <w:tc>
          <w:tcPr>
            <w:tcW w:w="1615" w:type="dxa"/>
            <w:vMerge w:val="restart"/>
          </w:tcPr>
          <w:p w14:paraId="12251CC7"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P-67</w:t>
            </w:r>
          </w:p>
        </w:tc>
        <w:tc>
          <w:tcPr>
            <w:tcW w:w="2770" w:type="dxa"/>
            <w:vMerge w:val="restart"/>
          </w:tcPr>
          <w:p w14:paraId="34CDA6D5"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Mathematical Oncology Approaches to Modeling Glioblastoma Growth Dynamics</w:t>
            </w:r>
          </w:p>
        </w:tc>
        <w:tc>
          <w:tcPr>
            <w:tcW w:w="1577" w:type="dxa"/>
            <w:vMerge w:val="restart"/>
          </w:tcPr>
          <w:p w14:paraId="5085F71E"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Kodali, Aryan*, Nathaniel Burchette, Ivan Cherednik</w:t>
            </w:r>
          </w:p>
        </w:tc>
        <w:tc>
          <w:tcPr>
            <w:tcW w:w="1628" w:type="dxa"/>
            <w:vMerge w:val="restart"/>
          </w:tcPr>
          <w:p w14:paraId="3E662D8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Department of Mathematics, The University of North Carolina at Chapel Hill</w:t>
            </w:r>
          </w:p>
        </w:tc>
        <w:tc>
          <w:tcPr>
            <w:tcW w:w="1760" w:type="dxa"/>
          </w:tcPr>
          <w:p w14:paraId="70ECDED7"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11D4B3BA" w14:textId="77777777" w:rsidTr="00EE0810">
        <w:trPr>
          <w:trHeight w:val="424"/>
        </w:trPr>
        <w:tc>
          <w:tcPr>
            <w:tcW w:w="1615" w:type="dxa"/>
            <w:vMerge/>
          </w:tcPr>
          <w:p w14:paraId="5CEA0C1E" w14:textId="77777777" w:rsidR="00890FA4" w:rsidRPr="00D03374" w:rsidRDefault="00890FA4" w:rsidP="00EE0810">
            <w:pPr>
              <w:rPr>
                <w:rFonts w:ascii="Calibri" w:hAnsi="Calibri" w:cs="Calibri"/>
                <w:sz w:val="18"/>
                <w:szCs w:val="18"/>
              </w:rPr>
            </w:pPr>
          </w:p>
        </w:tc>
        <w:tc>
          <w:tcPr>
            <w:tcW w:w="2770" w:type="dxa"/>
            <w:vMerge/>
          </w:tcPr>
          <w:p w14:paraId="19DFBDCE" w14:textId="77777777" w:rsidR="00890FA4" w:rsidRPr="00D03374" w:rsidRDefault="00890FA4" w:rsidP="00EE0810">
            <w:pPr>
              <w:rPr>
                <w:rFonts w:ascii="Calibri" w:hAnsi="Calibri" w:cs="Calibri"/>
                <w:sz w:val="18"/>
                <w:szCs w:val="18"/>
              </w:rPr>
            </w:pPr>
          </w:p>
        </w:tc>
        <w:tc>
          <w:tcPr>
            <w:tcW w:w="1577" w:type="dxa"/>
            <w:vMerge/>
          </w:tcPr>
          <w:p w14:paraId="378158AF" w14:textId="77777777" w:rsidR="00890FA4" w:rsidRPr="00D03374" w:rsidRDefault="00890FA4" w:rsidP="00EE0810">
            <w:pPr>
              <w:rPr>
                <w:rFonts w:ascii="Calibri" w:hAnsi="Calibri" w:cs="Calibri"/>
                <w:sz w:val="18"/>
                <w:szCs w:val="18"/>
              </w:rPr>
            </w:pPr>
          </w:p>
        </w:tc>
        <w:tc>
          <w:tcPr>
            <w:tcW w:w="1628" w:type="dxa"/>
            <w:vMerge/>
          </w:tcPr>
          <w:p w14:paraId="78340B09" w14:textId="77777777" w:rsidR="00890FA4" w:rsidRPr="00D03374" w:rsidRDefault="00890FA4" w:rsidP="00EE0810">
            <w:pPr>
              <w:rPr>
                <w:rFonts w:ascii="Calibri" w:hAnsi="Calibri" w:cs="Calibri"/>
                <w:sz w:val="18"/>
                <w:szCs w:val="18"/>
              </w:rPr>
            </w:pPr>
          </w:p>
        </w:tc>
        <w:tc>
          <w:tcPr>
            <w:tcW w:w="1760" w:type="dxa"/>
          </w:tcPr>
          <w:p w14:paraId="7F9853D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07EBE82A" w14:textId="77777777" w:rsidTr="00EE0810">
        <w:trPr>
          <w:trHeight w:val="425"/>
        </w:trPr>
        <w:tc>
          <w:tcPr>
            <w:tcW w:w="1615" w:type="dxa"/>
            <w:vMerge w:val="restart"/>
          </w:tcPr>
          <w:p w14:paraId="27FF939B"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P-68</w:t>
            </w:r>
          </w:p>
        </w:tc>
        <w:tc>
          <w:tcPr>
            <w:tcW w:w="2770" w:type="dxa"/>
            <w:vMerge w:val="restart"/>
          </w:tcPr>
          <w:p w14:paraId="12CE5B28"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Differences in the Epigenetic Landscape of Diffuse Large B-Cell Lymphoma (DLBCL) and Hodgkins Lymphoma (HL) as Compared to Healthy Immune Cells</w:t>
            </w:r>
          </w:p>
        </w:tc>
        <w:tc>
          <w:tcPr>
            <w:tcW w:w="1577" w:type="dxa"/>
            <w:vMerge w:val="restart"/>
          </w:tcPr>
          <w:p w14:paraId="118BC9B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Theo Pawlik</w:t>
            </w:r>
          </w:p>
        </w:tc>
        <w:tc>
          <w:tcPr>
            <w:tcW w:w="1628" w:type="dxa"/>
            <w:vMerge w:val="restart"/>
          </w:tcPr>
          <w:p w14:paraId="3AC5AC6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Elon University</w:t>
            </w:r>
          </w:p>
        </w:tc>
        <w:tc>
          <w:tcPr>
            <w:tcW w:w="1760" w:type="dxa"/>
          </w:tcPr>
          <w:p w14:paraId="4C738CC3"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2CF2D4CF" w14:textId="77777777" w:rsidTr="00EE0810">
        <w:trPr>
          <w:trHeight w:val="424"/>
        </w:trPr>
        <w:tc>
          <w:tcPr>
            <w:tcW w:w="1615" w:type="dxa"/>
            <w:vMerge/>
          </w:tcPr>
          <w:p w14:paraId="00364623" w14:textId="77777777" w:rsidR="00890FA4" w:rsidRPr="00D03374" w:rsidRDefault="00890FA4" w:rsidP="00EE0810">
            <w:pPr>
              <w:rPr>
                <w:rFonts w:ascii="Calibri" w:hAnsi="Calibri" w:cs="Calibri"/>
                <w:sz w:val="18"/>
                <w:szCs w:val="18"/>
              </w:rPr>
            </w:pPr>
          </w:p>
        </w:tc>
        <w:tc>
          <w:tcPr>
            <w:tcW w:w="2770" w:type="dxa"/>
            <w:vMerge/>
          </w:tcPr>
          <w:p w14:paraId="3D2D6D01" w14:textId="77777777" w:rsidR="00890FA4" w:rsidRPr="00D03374" w:rsidRDefault="00890FA4" w:rsidP="00EE0810">
            <w:pPr>
              <w:rPr>
                <w:rFonts w:ascii="Calibri" w:hAnsi="Calibri" w:cs="Calibri"/>
                <w:sz w:val="18"/>
                <w:szCs w:val="18"/>
              </w:rPr>
            </w:pPr>
          </w:p>
        </w:tc>
        <w:tc>
          <w:tcPr>
            <w:tcW w:w="1577" w:type="dxa"/>
            <w:vMerge/>
          </w:tcPr>
          <w:p w14:paraId="12BB935D" w14:textId="77777777" w:rsidR="00890FA4" w:rsidRPr="00D03374" w:rsidRDefault="00890FA4" w:rsidP="00EE0810">
            <w:pPr>
              <w:rPr>
                <w:rFonts w:ascii="Calibri" w:hAnsi="Calibri" w:cs="Calibri"/>
                <w:sz w:val="18"/>
                <w:szCs w:val="18"/>
              </w:rPr>
            </w:pPr>
          </w:p>
        </w:tc>
        <w:tc>
          <w:tcPr>
            <w:tcW w:w="1628" w:type="dxa"/>
            <w:vMerge/>
          </w:tcPr>
          <w:p w14:paraId="41110A09" w14:textId="77777777" w:rsidR="00890FA4" w:rsidRPr="00D03374" w:rsidRDefault="00890FA4" w:rsidP="00EE0810">
            <w:pPr>
              <w:rPr>
                <w:rFonts w:ascii="Calibri" w:hAnsi="Calibri" w:cs="Calibri"/>
                <w:sz w:val="18"/>
                <w:szCs w:val="18"/>
              </w:rPr>
            </w:pPr>
          </w:p>
        </w:tc>
        <w:tc>
          <w:tcPr>
            <w:tcW w:w="1760" w:type="dxa"/>
          </w:tcPr>
          <w:p w14:paraId="45BADE66"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Yes</w:t>
            </w:r>
          </w:p>
        </w:tc>
      </w:tr>
      <w:tr w:rsidR="00890FA4" w:rsidRPr="00D03374" w14:paraId="1F9F0F2B" w14:textId="77777777" w:rsidTr="00EE0810">
        <w:trPr>
          <w:trHeight w:val="425"/>
        </w:trPr>
        <w:tc>
          <w:tcPr>
            <w:tcW w:w="1615" w:type="dxa"/>
            <w:vMerge w:val="restart"/>
          </w:tcPr>
          <w:p w14:paraId="7ADAD64C" w14:textId="77777777" w:rsidR="00890FA4" w:rsidRPr="00D03374" w:rsidRDefault="00890FA4" w:rsidP="00EE0810">
            <w:pPr>
              <w:rPr>
                <w:rFonts w:ascii="Calibri" w:hAnsi="Calibri" w:cs="Calibri"/>
                <w:noProof/>
                <w:sz w:val="18"/>
                <w:szCs w:val="18"/>
              </w:rPr>
            </w:pPr>
            <w:r w:rsidRPr="00F6547B">
              <w:rPr>
                <w:rFonts w:ascii="Calibri" w:hAnsi="Calibri" w:cs="Calibri"/>
                <w:noProof/>
                <w:sz w:val="18"/>
                <w:szCs w:val="18"/>
              </w:rPr>
              <w:t>P-69</w:t>
            </w:r>
          </w:p>
        </w:tc>
        <w:tc>
          <w:tcPr>
            <w:tcW w:w="2770" w:type="dxa"/>
            <w:vMerge w:val="restart"/>
          </w:tcPr>
          <w:p w14:paraId="385C1E4A"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Beyond Antibiotics: Leveraging Genomics to Inform Pediatric Skin Infection Therapies</w:t>
            </w:r>
          </w:p>
        </w:tc>
        <w:tc>
          <w:tcPr>
            <w:tcW w:w="1577" w:type="dxa"/>
            <w:vMerge w:val="restart"/>
          </w:tcPr>
          <w:p w14:paraId="4102E050"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Rohrer, Taylor*, Ewunkem, Akamu</w:t>
            </w:r>
          </w:p>
        </w:tc>
        <w:tc>
          <w:tcPr>
            <w:tcW w:w="1628" w:type="dxa"/>
            <w:vMerge w:val="restart"/>
          </w:tcPr>
          <w:p w14:paraId="2664385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Winston Salem State University</w:t>
            </w:r>
          </w:p>
        </w:tc>
        <w:tc>
          <w:tcPr>
            <w:tcW w:w="1760" w:type="dxa"/>
          </w:tcPr>
          <w:p w14:paraId="6DD1AB21"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6:45-7:30 PM</w:t>
            </w:r>
          </w:p>
        </w:tc>
      </w:tr>
      <w:tr w:rsidR="00890FA4" w:rsidRPr="00D03374" w14:paraId="7F9841DB" w14:textId="77777777" w:rsidTr="00EE0810">
        <w:trPr>
          <w:trHeight w:val="424"/>
        </w:trPr>
        <w:tc>
          <w:tcPr>
            <w:tcW w:w="1615" w:type="dxa"/>
            <w:vMerge/>
          </w:tcPr>
          <w:p w14:paraId="3415B9F7" w14:textId="77777777" w:rsidR="00890FA4" w:rsidRPr="00D03374" w:rsidRDefault="00890FA4" w:rsidP="00EE0810">
            <w:pPr>
              <w:rPr>
                <w:rFonts w:ascii="Calibri" w:hAnsi="Calibri" w:cs="Calibri"/>
                <w:sz w:val="18"/>
                <w:szCs w:val="18"/>
              </w:rPr>
            </w:pPr>
          </w:p>
        </w:tc>
        <w:tc>
          <w:tcPr>
            <w:tcW w:w="2770" w:type="dxa"/>
            <w:vMerge/>
          </w:tcPr>
          <w:p w14:paraId="408C0E4D" w14:textId="77777777" w:rsidR="00890FA4" w:rsidRPr="00D03374" w:rsidRDefault="00890FA4" w:rsidP="00EE0810">
            <w:pPr>
              <w:rPr>
                <w:rFonts w:ascii="Calibri" w:hAnsi="Calibri" w:cs="Calibri"/>
                <w:sz w:val="18"/>
                <w:szCs w:val="18"/>
              </w:rPr>
            </w:pPr>
          </w:p>
        </w:tc>
        <w:tc>
          <w:tcPr>
            <w:tcW w:w="1577" w:type="dxa"/>
            <w:vMerge/>
          </w:tcPr>
          <w:p w14:paraId="580D6415" w14:textId="77777777" w:rsidR="00890FA4" w:rsidRPr="00D03374" w:rsidRDefault="00890FA4" w:rsidP="00EE0810">
            <w:pPr>
              <w:rPr>
                <w:rFonts w:ascii="Calibri" w:hAnsi="Calibri" w:cs="Calibri"/>
                <w:sz w:val="18"/>
                <w:szCs w:val="18"/>
              </w:rPr>
            </w:pPr>
          </w:p>
        </w:tc>
        <w:tc>
          <w:tcPr>
            <w:tcW w:w="1628" w:type="dxa"/>
            <w:vMerge/>
          </w:tcPr>
          <w:p w14:paraId="14C557BE" w14:textId="77777777" w:rsidR="00890FA4" w:rsidRPr="00D03374" w:rsidRDefault="00890FA4" w:rsidP="00EE0810">
            <w:pPr>
              <w:rPr>
                <w:rFonts w:ascii="Calibri" w:hAnsi="Calibri" w:cs="Calibri"/>
                <w:sz w:val="18"/>
                <w:szCs w:val="18"/>
              </w:rPr>
            </w:pPr>
          </w:p>
        </w:tc>
        <w:tc>
          <w:tcPr>
            <w:tcW w:w="1760" w:type="dxa"/>
          </w:tcPr>
          <w:p w14:paraId="71C3CCE4" w14:textId="77777777" w:rsidR="00890FA4" w:rsidRPr="00D03374" w:rsidRDefault="00890FA4" w:rsidP="00EE0810">
            <w:pPr>
              <w:rPr>
                <w:rFonts w:ascii="Calibri" w:hAnsi="Calibri" w:cs="Calibri"/>
                <w:sz w:val="18"/>
                <w:szCs w:val="18"/>
              </w:rPr>
            </w:pPr>
            <w:r w:rsidRPr="00F6547B">
              <w:rPr>
                <w:rFonts w:ascii="Calibri" w:hAnsi="Calibri" w:cs="Calibri"/>
                <w:noProof/>
                <w:sz w:val="18"/>
                <w:szCs w:val="18"/>
              </w:rPr>
              <w:t>No</w:t>
            </w:r>
          </w:p>
        </w:tc>
      </w:tr>
    </w:tbl>
    <w:p w14:paraId="44E6A7F0" w14:textId="77777777" w:rsidR="002114D5" w:rsidRPr="00B051AC"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tbl>
      <w:tblPr>
        <w:tblStyle w:val="TableGridLight"/>
        <w:tblW w:w="9350" w:type="dxa"/>
        <w:tblLayout w:type="fixed"/>
        <w:tblLook w:val="04A0" w:firstRow="1" w:lastRow="0" w:firstColumn="1" w:lastColumn="0" w:noHBand="0" w:noVBand="1"/>
      </w:tblPr>
      <w:tblGrid>
        <w:gridCol w:w="1615"/>
        <w:gridCol w:w="2770"/>
        <w:gridCol w:w="1577"/>
        <w:gridCol w:w="1628"/>
        <w:gridCol w:w="1760"/>
      </w:tblGrid>
      <w:tr w:rsidR="006301F5" w:rsidRPr="00D03374" w14:paraId="35429D0F" w14:textId="77777777" w:rsidTr="00EE0810">
        <w:trPr>
          <w:trHeight w:val="425"/>
        </w:trPr>
        <w:tc>
          <w:tcPr>
            <w:tcW w:w="9350" w:type="dxa"/>
            <w:gridSpan w:val="5"/>
            <w:shd w:val="clear" w:color="auto" w:fill="A5C9EB" w:themeFill="text2" w:themeFillTint="40"/>
          </w:tcPr>
          <w:p w14:paraId="2E5CB2C3" w14:textId="77777777" w:rsidR="006301F5" w:rsidRPr="00340E15" w:rsidRDefault="006301F5" w:rsidP="00EE0810">
            <w:pPr>
              <w:rPr>
                <w:rFonts w:ascii="Calibri" w:hAnsi="Calibri" w:cs="Calibri"/>
                <w:noProof/>
                <w:sz w:val="28"/>
                <w:szCs w:val="28"/>
              </w:rPr>
            </w:pPr>
            <w:r>
              <w:rPr>
                <w:rFonts w:ascii="Calibri" w:hAnsi="Calibri" w:cs="Calibri"/>
                <w:noProof/>
                <w:sz w:val="28"/>
                <w:szCs w:val="28"/>
              </w:rPr>
              <w:t>Poster Presentations—</w:t>
            </w:r>
            <w:r w:rsidRPr="0022217A">
              <w:rPr>
                <w:rFonts w:ascii="Calibri" w:hAnsi="Calibri" w:cs="Calibri"/>
                <w:noProof/>
                <w:sz w:val="28"/>
                <w:szCs w:val="28"/>
              </w:rPr>
              <w:t>Lakeside Rooms 212, 213, and 214</w:t>
            </w:r>
            <w:r>
              <w:rPr>
                <w:rFonts w:ascii="Calibri" w:hAnsi="Calibri" w:cs="Calibri"/>
                <w:noProof/>
                <w:sz w:val="28"/>
                <w:szCs w:val="28"/>
              </w:rPr>
              <w:t xml:space="preserve">, Friday, April 24   </w:t>
            </w:r>
          </w:p>
        </w:tc>
      </w:tr>
      <w:tr w:rsidR="006301F5" w:rsidRPr="00D03374" w14:paraId="504699A1" w14:textId="77777777" w:rsidTr="00EE0810">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57902775" w14:textId="77777777" w:rsidR="006301F5" w:rsidRPr="00340E15" w:rsidRDefault="006301F5" w:rsidP="00EE0810">
            <w:pPr>
              <w:rPr>
                <w:rFonts w:ascii="Calibri" w:hAnsi="Calibri" w:cs="Calibri"/>
                <w:noProof/>
                <w:sz w:val="22"/>
                <w:szCs w:val="22"/>
              </w:rPr>
            </w:pPr>
            <w:bookmarkStart w:id="13" w:name="PosterPresentationPhyAstEng" w:colFirst="0" w:colLast="0"/>
            <w:r>
              <w:rPr>
                <w:rFonts w:ascii="Calibri" w:hAnsi="Calibri" w:cs="Calibri"/>
                <w:noProof/>
                <w:sz w:val="22"/>
                <w:szCs w:val="22"/>
              </w:rPr>
              <w:t xml:space="preserve">Session 2 (6:45-7:30 PM)--Section:  </w:t>
            </w:r>
            <w:r w:rsidRPr="00D219C5">
              <w:rPr>
                <w:rFonts w:ascii="Calibri" w:hAnsi="Calibri" w:cs="Calibri"/>
                <w:noProof/>
                <w:sz w:val="22"/>
                <w:szCs w:val="22"/>
              </w:rPr>
              <w:t>Physics, Astronomy, &amp;  Engineering</w:t>
            </w:r>
          </w:p>
        </w:tc>
      </w:tr>
      <w:bookmarkEnd w:id="13"/>
      <w:tr w:rsidR="006301F5" w:rsidRPr="00D03374" w14:paraId="0F62B504" w14:textId="77777777" w:rsidTr="00EE0810">
        <w:trPr>
          <w:trHeight w:hRule="exact" w:val="288"/>
        </w:trPr>
        <w:tc>
          <w:tcPr>
            <w:tcW w:w="1615" w:type="dxa"/>
            <w:shd w:val="clear" w:color="auto" w:fill="D9F2D0" w:themeFill="accent6" w:themeFillTint="33"/>
          </w:tcPr>
          <w:p w14:paraId="3F80A56E" w14:textId="77777777" w:rsidR="006301F5" w:rsidRDefault="006301F5" w:rsidP="00EE0810">
            <w:pPr>
              <w:rPr>
                <w:rFonts w:ascii="Calibri" w:hAnsi="Calibri" w:cs="Calibri"/>
                <w:noProof/>
                <w:sz w:val="18"/>
                <w:szCs w:val="18"/>
              </w:rPr>
            </w:pPr>
            <w:r>
              <w:rPr>
                <w:rFonts w:ascii="Calibri" w:hAnsi="Calibri" w:cs="Calibri"/>
                <w:noProof/>
                <w:sz w:val="18"/>
                <w:szCs w:val="18"/>
              </w:rPr>
              <w:t>Poster/Abstract #</w:t>
            </w:r>
          </w:p>
          <w:p w14:paraId="45575509" w14:textId="77777777" w:rsidR="006301F5" w:rsidRDefault="006301F5" w:rsidP="00EE0810">
            <w:pPr>
              <w:rPr>
                <w:rFonts w:ascii="Calibri" w:hAnsi="Calibri" w:cs="Calibri"/>
                <w:noProof/>
                <w:sz w:val="18"/>
                <w:szCs w:val="18"/>
              </w:rPr>
            </w:pPr>
          </w:p>
        </w:tc>
        <w:tc>
          <w:tcPr>
            <w:tcW w:w="2770" w:type="dxa"/>
            <w:shd w:val="clear" w:color="auto" w:fill="D9F2D0" w:themeFill="accent6" w:themeFillTint="33"/>
          </w:tcPr>
          <w:p w14:paraId="42661F93" w14:textId="77777777" w:rsidR="006301F5" w:rsidRPr="00D03374" w:rsidRDefault="006301F5" w:rsidP="00EE0810">
            <w:pPr>
              <w:rPr>
                <w:rFonts w:ascii="Calibri" w:hAnsi="Calibri" w:cs="Calibri"/>
                <w:noProof/>
                <w:sz w:val="18"/>
                <w:szCs w:val="18"/>
              </w:rPr>
            </w:pPr>
            <w:r>
              <w:rPr>
                <w:rFonts w:ascii="Calibri" w:hAnsi="Calibri" w:cs="Calibri"/>
                <w:noProof/>
                <w:sz w:val="18"/>
                <w:szCs w:val="18"/>
              </w:rPr>
              <w:t>Title</w:t>
            </w:r>
          </w:p>
        </w:tc>
        <w:tc>
          <w:tcPr>
            <w:tcW w:w="1577" w:type="dxa"/>
            <w:shd w:val="clear" w:color="auto" w:fill="D9F2D0" w:themeFill="accent6" w:themeFillTint="33"/>
          </w:tcPr>
          <w:p w14:paraId="62D6140E" w14:textId="77777777" w:rsidR="006301F5" w:rsidRDefault="006301F5" w:rsidP="00EE0810">
            <w:pPr>
              <w:rPr>
                <w:rFonts w:ascii="Calibri" w:hAnsi="Calibri" w:cs="Calibri"/>
                <w:noProof/>
                <w:sz w:val="18"/>
                <w:szCs w:val="18"/>
              </w:rPr>
            </w:pPr>
            <w:r>
              <w:rPr>
                <w:rFonts w:ascii="Calibri" w:hAnsi="Calibri" w:cs="Calibri"/>
                <w:noProof/>
                <w:sz w:val="18"/>
                <w:szCs w:val="18"/>
              </w:rPr>
              <w:t>Authors</w:t>
            </w:r>
          </w:p>
        </w:tc>
        <w:tc>
          <w:tcPr>
            <w:tcW w:w="1628" w:type="dxa"/>
            <w:shd w:val="clear" w:color="auto" w:fill="D9F2D0" w:themeFill="accent6" w:themeFillTint="33"/>
          </w:tcPr>
          <w:p w14:paraId="49CC4C21" w14:textId="77777777" w:rsidR="006301F5" w:rsidRDefault="006301F5" w:rsidP="00EE0810">
            <w:pPr>
              <w:rPr>
                <w:rFonts w:ascii="Calibri" w:hAnsi="Calibri" w:cs="Calibri"/>
                <w:noProof/>
                <w:sz w:val="18"/>
                <w:szCs w:val="18"/>
              </w:rPr>
            </w:pPr>
            <w:r>
              <w:rPr>
                <w:rFonts w:ascii="Calibri" w:hAnsi="Calibri" w:cs="Calibri"/>
                <w:noProof/>
                <w:sz w:val="18"/>
                <w:szCs w:val="18"/>
              </w:rPr>
              <w:t>University</w:t>
            </w:r>
          </w:p>
        </w:tc>
        <w:tc>
          <w:tcPr>
            <w:tcW w:w="1760" w:type="dxa"/>
            <w:shd w:val="clear" w:color="auto" w:fill="D9F2D0" w:themeFill="accent6" w:themeFillTint="33"/>
          </w:tcPr>
          <w:p w14:paraId="3D916F2C" w14:textId="77777777" w:rsidR="006301F5" w:rsidRDefault="006301F5" w:rsidP="00EE0810">
            <w:pPr>
              <w:rPr>
                <w:rFonts w:ascii="Calibri" w:hAnsi="Calibri" w:cs="Calibri"/>
                <w:noProof/>
                <w:sz w:val="18"/>
                <w:szCs w:val="18"/>
              </w:rPr>
            </w:pPr>
            <w:r>
              <w:rPr>
                <w:rFonts w:ascii="Calibri" w:hAnsi="Calibri" w:cs="Calibri"/>
                <w:noProof/>
                <w:sz w:val="18"/>
                <w:szCs w:val="18"/>
              </w:rPr>
              <w:t>Time/Derieux?</w:t>
            </w:r>
          </w:p>
        </w:tc>
      </w:tr>
      <w:tr w:rsidR="006301F5" w:rsidRPr="00D03374" w14:paraId="5FE85042" w14:textId="77777777" w:rsidTr="00EE0810">
        <w:trPr>
          <w:trHeight w:val="425"/>
        </w:trPr>
        <w:tc>
          <w:tcPr>
            <w:tcW w:w="1615" w:type="dxa"/>
            <w:vMerge w:val="restart"/>
          </w:tcPr>
          <w:p w14:paraId="58C71F9C" w14:textId="77777777" w:rsidR="006301F5" w:rsidRPr="00D03374" w:rsidRDefault="006301F5" w:rsidP="00EE0810">
            <w:pPr>
              <w:rPr>
                <w:rFonts w:ascii="Calibri" w:hAnsi="Calibri" w:cs="Calibri"/>
                <w:noProof/>
                <w:sz w:val="18"/>
                <w:szCs w:val="18"/>
              </w:rPr>
            </w:pPr>
            <w:r w:rsidRPr="00D219C5">
              <w:rPr>
                <w:rFonts w:ascii="Calibri" w:hAnsi="Calibri" w:cs="Calibri"/>
                <w:noProof/>
                <w:sz w:val="18"/>
                <w:szCs w:val="18"/>
              </w:rPr>
              <w:t>P-70</w:t>
            </w:r>
          </w:p>
        </w:tc>
        <w:tc>
          <w:tcPr>
            <w:tcW w:w="2770" w:type="dxa"/>
            <w:vMerge w:val="restart"/>
          </w:tcPr>
          <w:p w14:paraId="6A14969C"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Measuring the Cosmic Neutral Hydrogen Density with RESOLVE and ECO</w:t>
            </w:r>
          </w:p>
        </w:tc>
        <w:tc>
          <w:tcPr>
            <w:tcW w:w="1577" w:type="dxa"/>
            <w:vMerge w:val="restart"/>
          </w:tcPr>
          <w:p w14:paraId="32E2D0F0"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Matthew Rieck*, Zack Hutchens</w:t>
            </w:r>
          </w:p>
        </w:tc>
        <w:tc>
          <w:tcPr>
            <w:tcW w:w="1628" w:type="dxa"/>
            <w:vMerge w:val="restart"/>
          </w:tcPr>
          <w:p w14:paraId="4276611A"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Elon University</w:t>
            </w:r>
          </w:p>
        </w:tc>
        <w:tc>
          <w:tcPr>
            <w:tcW w:w="1760" w:type="dxa"/>
          </w:tcPr>
          <w:p w14:paraId="5277FB16"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6:45-7:30 PM</w:t>
            </w:r>
          </w:p>
        </w:tc>
      </w:tr>
      <w:tr w:rsidR="006301F5" w:rsidRPr="00D03374" w14:paraId="492797A0" w14:textId="77777777" w:rsidTr="00EE0810">
        <w:trPr>
          <w:trHeight w:val="424"/>
        </w:trPr>
        <w:tc>
          <w:tcPr>
            <w:tcW w:w="1615" w:type="dxa"/>
            <w:vMerge/>
          </w:tcPr>
          <w:p w14:paraId="6E5BE8F0" w14:textId="77777777" w:rsidR="006301F5" w:rsidRPr="00D03374" w:rsidRDefault="006301F5" w:rsidP="00EE0810">
            <w:pPr>
              <w:rPr>
                <w:rFonts w:ascii="Calibri" w:hAnsi="Calibri" w:cs="Calibri"/>
                <w:sz w:val="18"/>
                <w:szCs w:val="18"/>
              </w:rPr>
            </w:pPr>
          </w:p>
        </w:tc>
        <w:tc>
          <w:tcPr>
            <w:tcW w:w="2770" w:type="dxa"/>
            <w:vMerge/>
          </w:tcPr>
          <w:p w14:paraId="57042DC8" w14:textId="77777777" w:rsidR="006301F5" w:rsidRPr="00D03374" w:rsidRDefault="006301F5" w:rsidP="00EE0810">
            <w:pPr>
              <w:rPr>
                <w:rFonts w:ascii="Calibri" w:hAnsi="Calibri" w:cs="Calibri"/>
                <w:sz w:val="18"/>
                <w:szCs w:val="18"/>
              </w:rPr>
            </w:pPr>
          </w:p>
        </w:tc>
        <w:tc>
          <w:tcPr>
            <w:tcW w:w="1577" w:type="dxa"/>
            <w:vMerge/>
          </w:tcPr>
          <w:p w14:paraId="565D2F64" w14:textId="77777777" w:rsidR="006301F5" w:rsidRPr="00D03374" w:rsidRDefault="006301F5" w:rsidP="00EE0810">
            <w:pPr>
              <w:rPr>
                <w:rFonts w:ascii="Calibri" w:hAnsi="Calibri" w:cs="Calibri"/>
                <w:sz w:val="18"/>
                <w:szCs w:val="18"/>
              </w:rPr>
            </w:pPr>
          </w:p>
        </w:tc>
        <w:tc>
          <w:tcPr>
            <w:tcW w:w="1628" w:type="dxa"/>
            <w:vMerge/>
          </w:tcPr>
          <w:p w14:paraId="4FEFF215" w14:textId="77777777" w:rsidR="006301F5" w:rsidRPr="00D03374" w:rsidRDefault="006301F5" w:rsidP="00EE0810">
            <w:pPr>
              <w:rPr>
                <w:rFonts w:ascii="Calibri" w:hAnsi="Calibri" w:cs="Calibri"/>
                <w:sz w:val="18"/>
                <w:szCs w:val="18"/>
              </w:rPr>
            </w:pPr>
          </w:p>
        </w:tc>
        <w:tc>
          <w:tcPr>
            <w:tcW w:w="1760" w:type="dxa"/>
          </w:tcPr>
          <w:p w14:paraId="4326F8E7"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No</w:t>
            </w:r>
          </w:p>
        </w:tc>
      </w:tr>
      <w:tr w:rsidR="006301F5" w:rsidRPr="00D03374" w14:paraId="38CA8269" w14:textId="77777777" w:rsidTr="00EE0810">
        <w:trPr>
          <w:trHeight w:val="425"/>
        </w:trPr>
        <w:tc>
          <w:tcPr>
            <w:tcW w:w="1615" w:type="dxa"/>
            <w:vMerge w:val="restart"/>
          </w:tcPr>
          <w:p w14:paraId="0EF0A993" w14:textId="77777777" w:rsidR="006301F5" w:rsidRPr="00D03374" w:rsidRDefault="006301F5" w:rsidP="00EE0810">
            <w:pPr>
              <w:rPr>
                <w:rFonts w:ascii="Calibri" w:hAnsi="Calibri" w:cs="Calibri"/>
                <w:noProof/>
                <w:sz w:val="18"/>
                <w:szCs w:val="18"/>
              </w:rPr>
            </w:pPr>
            <w:r w:rsidRPr="00D219C5">
              <w:rPr>
                <w:rFonts w:ascii="Calibri" w:hAnsi="Calibri" w:cs="Calibri"/>
                <w:noProof/>
                <w:sz w:val="18"/>
                <w:szCs w:val="18"/>
              </w:rPr>
              <w:t>P-71</w:t>
            </w:r>
          </w:p>
        </w:tc>
        <w:tc>
          <w:tcPr>
            <w:tcW w:w="2770" w:type="dxa"/>
            <w:vMerge w:val="restart"/>
          </w:tcPr>
          <w:p w14:paraId="41A614B7"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RESOLVE, ECO, and eRASS: Probing galaxy growth through cold and hot gas</w:t>
            </w:r>
          </w:p>
        </w:tc>
        <w:tc>
          <w:tcPr>
            <w:tcW w:w="1577" w:type="dxa"/>
            <w:vMerge w:val="restart"/>
          </w:tcPr>
          <w:p w14:paraId="1B757FAF"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Parham, Ja'Mir*, Zackary Hutchens, Sheila Kannappan, Kelley Hess</w:t>
            </w:r>
          </w:p>
        </w:tc>
        <w:tc>
          <w:tcPr>
            <w:tcW w:w="1628" w:type="dxa"/>
            <w:vMerge w:val="restart"/>
          </w:tcPr>
          <w:p w14:paraId="05B00FD4"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Elon University</w:t>
            </w:r>
          </w:p>
        </w:tc>
        <w:tc>
          <w:tcPr>
            <w:tcW w:w="1760" w:type="dxa"/>
          </w:tcPr>
          <w:p w14:paraId="4E5BF4C8"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6:45-7:30 PM</w:t>
            </w:r>
          </w:p>
        </w:tc>
      </w:tr>
      <w:tr w:rsidR="006301F5" w:rsidRPr="00D03374" w14:paraId="6DBE2334" w14:textId="77777777" w:rsidTr="00EE0810">
        <w:trPr>
          <w:trHeight w:val="424"/>
        </w:trPr>
        <w:tc>
          <w:tcPr>
            <w:tcW w:w="1615" w:type="dxa"/>
            <w:vMerge/>
          </w:tcPr>
          <w:p w14:paraId="4BF9C33F" w14:textId="77777777" w:rsidR="006301F5" w:rsidRPr="00D03374" w:rsidRDefault="006301F5" w:rsidP="00EE0810">
            <w:pPr>
              <w:rPr>
                <w:rFonts w:ascii="Calibri" w:hAnsi="Calibri" w:cs="Calibri"/>
                <w:sz w:val="18"/>
                <w:szCs w:val="18"/>
              </w:rPr>
            </w:pPr>
          </w:p>
        </w:tc>
        <w:tc>
          <w:tcPr>
            <w:tcW w:w="2770" w:type="dxa"/>
            <w:vMerge/>
          </w:tcPr>
          <w:p w14:paraId="47C41E34" w14:textId="77777777" w:rsidR="006301F5" w:rsidRPr="00D03374" w:rsidRDefault="006301F5" w:rsidP="00EE0810">
            <w:pPr>
              <w:rPr>
                <w:rFonts w:ascii="Calibri" w:hAnsi="Calibri" w:cs="Calibri"/>
                <w:sz w:val="18"/>
                <w:szCs w:val="18"/>
              </w:rPr>
            </w:pPr>
          </w:p>
        </w:tc>
        <w:tc>
          <w:tcPr>
            <w:tcW w:w="1577" w:type="dxa"/>
            <w:vMerge/>
          </w:tcPr>
          <w:p w14:paraId="49C79452" w14:textId="77777777" w:rsidR="006301F5" w:rsidRPr="00D03374" w:rsidRDefault="006301F5" w:rsidP="00EE0810">
            <w:pPr>
              <w:rPr>
                <w:rFonts w:ascii="Calibri" w:hAnsi="Calibri" w:cs="Calibri"/>
                <w:sz w:val="18"/>
                <w:szCs w:val="18"/>
              </w:rPr>
            </w:pPr>
          </w:p>
        </w:tc>
        <w:tc>
          <w:tcPr>
            <w:tcW w:w="1628" w:type="dxa"/>
            <w:vMerge/>
          </w:tcPr>
          <w:p w14:paraId="0891E90E" w14:textId="77777777" w:rsidR="006301F5" w:rsidRPr="00D03374" w:rsidRDefault="006301F5" w:rsidP="00EE0810">
            <w:pPr>
              <w:rPr>
                <w:rFonts w:ascii="Calibri" w:hAnsi="Calibri" w:cs="Calibri"/>
                <w:sz w:val="18"/>
                <w:szCs w:val="18"/>
              </w:rPr>
            </w:pPr>
          </w:p>
        </w:tc>
        <w:tc>
          <w:tcPr>
            <w:tcW w:w="1760" w:type="dxa"/>
          </w:tcPr>
          <w:p w14:paraId="60A67AB4"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Yes</w:t>
            </w:r>
          </w:p>
        </w:tc>
      </w:tr>
      <w:tr w:rsidR="006301F5" w:rsidRPr="00D03374" w14:paraId="48BC2E35" w14:textId="77777777" w:rsidTr="00EE0810">
        <w:trPr>
          <w:trHeight w:val="425"/>
        </w:trPr>
        <w:tc>
          <w:tcPr>
            <w:tcW w:w="1615" w:type="dxa"/>
            <w:vMerge w:val="restart"/>
          </w:tcPr>
          <w:p w14:paraId="32597D99" w14:textId="77777777" w:rsidR="006301F5" w:rsidRPr="00D03374" w:rsidRDefault="006301F5" w:rsidP="00EE0810">
            <w:pPr>
              <w:rPr>
                <w:rFonts w:ascii="Calibri" w:hAnsi="Calibri" w:cs="Calibri"/>
                <w:noProof/>
                <w:sz w:val="18"/>
                <w:szCs w:val="18"/>
              </w:rPr>
            </w:pPr>
            <w:r w:rsidRPr="00D219C5">
              <w:rPr>
                <w:rFonts w:ascii="Calibri" w:hAnsi="Calibri" w:cs="Calibri"/>
                <w:noProof/>
                <w:sz w:val="18"/>
                <w:szCs w:val="18"/>
              </w:rPr>
              <w:t>P-72</w:t>
            </w:r>
          </w:p>
        </w:tc>
        <w:tc>
          <w:tcPr>
            <w:tcW w:w="2770" w:type="dxa"/>
            <w:vMerge w:val="restart"/>
          </w:tcPr>
          <w:p w14:paraId="2E342C3A"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Nanoscale morphology of Nd island arrays on Au thin films via AFM</w:t>
            </w:r>
          </w:p>
        </w:tc>
        <w:tc>
          <w:tcPr>
            <w:tcW w:w="1577" w:type="dxa"/>
            <w:vMerge w:val="restart"/>
          </w:tcPr>
          <w:p w14:paraId="22917827"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Ariell King*, Ibrahim Yakubu, Bernadeta Srijanta, and John T. Yi</w:t>
            </w:r>
          </w:p>
        </w:tc>
        <w:tc>
          <w:tcPr>
            <w:tcW w:w="1628" w:type="dxa"/>
            <w:vMerge w:val="restart"/>
          </w:tcPr>
          <w:p w14:paraId="41BB23CB"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Winston-Salem State University, and CNMS: Oak Ridge National Laboratory</w:t>
            </w:r>
          </w:p>
        </w:tc>
        <w:tc>
          <w:tcPr>
            <w:tcW w:w="1760" w:type="dxa"/>
          </w:tcPr>
          <w:p w14:paraId="4359025B"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6:45-7:30 PM</w:t>
            </w:r>
          </w:p>
        </w:tc>
      </w:tr>
      <w:tr w:rsidR="006301F5" w:rsidRPr="00D03374" w14:paraId="3E3282FE" w14:textId="77777777" w:rsidTr="00EE0810">
        <w:trPr>
          <w:trHeight w:val="424"/>
        </w:trPr>
        <w:tc>
          <w:tcPr>
            <w:tcW w:w="1615" w:type="dxa"/>
            <w:vMerge/>
          </w:tcPr>
          <w:p w14:paraId="7645763A" w14:textId="77777777" w:rsidR="006301F5" w:rsidRPr="00D03374" w:rsidRDefault="006301F5" w:rsidP="00EE0810">
            <w:pPr>
              <w:rPr>
                <w:rFonts w:ascii="Calibri" w:hAnsi="Calibri" w:cs="Calibri"/>
                <w:sz w:val="18"/>
                <w:szCs w:val="18"/>
              </w:rPr>
            </w:pPr>
          </w:p>
        </w:tc>
        <w:tc>
          <w:tcPr>
            <w:tcW w:w="2770" w:type="dxa"/>
            <w:vMerge/>
          </w:tcPr>
          <w:p w14:paraId="61D57A24" w14:textId="77777777" w:rsidR="006301F5" w:rsidRPr="00D03374" w:rsidRDefault="006301F5" w:rsidP="00EE0810">
            <w:pPr>
              <w:rPr>
                <w:rFonts w:ascii="Calibri" w:hAnsi="Calibri" w:cs="Calibri"/>
                <w:sz w:val="18"/>
                <w:szCs w:val="18"/>
              </w:rPr>
            </w:pPr>
          </w:p>
        </w:tc>
        <w:tc>
          <w:tcPr>
            <w:tcW w:w="1577" w:type="dxa"/>
            <w:vMerge/>
          </w:tcPr>
          <w:p w14:paraId="55BBA6A5" w14:textId="77777777" w:rsidR="006301F5" w:rsidRPr="00D03374" w:rsidRDefault="006301F5" w:rsidP="00EE0810">
            <w:pPr>
              <w:rPr>
                <w:rFonts w:ascii="Calibri" w:hAnsi="Calibri" w:cs="Calibri"/>
                <w:sz w:val="18"/>
                <w:szCs w:val="18"/>
              </w:rPr>
            </w:pPr>
          </w:p>
        </w:tc>
        <w:tc>
          <w:tcPr>
            <w:tcW w:w="1628" w:type="dxa"/>
            <w:vMerge/>
          </w:tcPr>
          <w:p w14:paraId="1AF4F38B" w14:textId="77777777" w:rsidR="006301F5" w:rsidRPr="00D03374" w:rsidRDefault="006301F5" w:rsidP="00EE0810">
            <w:pPr>
              <w:rPr>
                <w:rFonts w:ascii="Calibri" w:hAnsi="Calibri" w:cs="Calibri"/>
                <w:sz w:val="18"/>
                <w:szCs w:val="18"/>
              </w:rPr>
            </w:pPr>
          </w:p>
        </w:tc>
        <w:tc>
          <w:tcPr>
            <w:tcW w:w="1760" w:type="dxa"/>
          </w:tcPr>
          <w:p w14:paraId="422FC8AE"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Yes</w:t>
            </w:r>
          </w:p>
        </w:tc>
      </w:tr>
      <w:tr w:rsidR="006301F5" w:rsidRPr="00D03374" w14:paraId="451C0108" w14:textId="77777777" w:rsidTr="00EE0810">
        <w:trPr>
          <w:trHeight w:val="425"/>
        </w:trPr>
        <w:tc>
          <w:tcPr>
            <w:tcW w:w="1615" w:type="dxa"/>
            <w:vMerge w:val="restart"/>
          </w:tcPr>
          <w:p w14:paraId="32D82490" w14:textId="77777777" w:rsidR="006301F5" w:rsidRPr="00D03374" w:rsidRDefault="006301F5" w:rsidP="00EE0810">
            <w:pPr>
              <w:rPr>
                <w:rFonts w:ascii="Calibri" w:hAnsi="Calibri" w:cs="Calibri"/>
                <w:noProof/>
                <w:sz w:val="18"/>
                <w:szCs w:val="18"/>
              </w:rPr>
            </w:pPr>
            <w:r w:rsidRPr="00D219C5">
              <w:rPr>
                <w:rFonts w:ascii="Calibri" w:hAnsi="Calibri" w:cs="Calibri"/>
                <w:noProof/>
                <w:sz w:val="18"/>
                <w:szCs w:val="18"/>
              </w:rPr>
              <w:t>P-73</w:t>
            </w:r>
          </w:p>
        </w:tc>
        <w:tc>
          <w:tcPr>
            <w:tcW w:w="2770" w:type="dxa"/>
            <w:vMerge w:val="restart"/>
          </w:tcPr>
          <w:p w14:paraId="28FF7D6F"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Microwave resonator characterization for quantum devices: Al and Cu cavities</w:t>
            </w:r>
          </w:p>
        </w:tc>
        <w:tc>
          <w:tcPr>
            <w:tcW w:w="1577" w:type="dxa"/>
            <w:vMerge w:val="restart"/>
          </w:tcPr>
          <w:p w14:paraId="6C7BCBFC"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Jalia Borden*, Elijah Taylor, Bianca Robinson, and John T. Yi</w:t>
            </w:r>
          </w:p>
        </w:tc>
        <w:tc>
          <w:tcPr>
            <w:tcW w:w="1628" w:type="dxa"/>
            <w:vMerge w:val="restart"/>
          </w:tcPr>
          <w:p w14:paraId="644D7962"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Winston-Salem State University</w:t>
            </w:r>
          </w:p>
        </w:tc>
        <w:tc>
          <w:tcPr>
            <w:tcW w:w="1760" w:type="dxa"/>
          </w:tcPr>
          <w:p w14:paraId="0B3681BE"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6:45-7:30 PM</w:t>
            </w:r>
          </w:p>
        </w:tc>
      </w:tr>
      <w:tr w:rsidR="006301F5" w:rsidRPr="00D03374" w14:paraId="4EA4E408" w14:textId="77777777" w:rsidTr="00EE0810">
        <w:trPr>
          <w:trHeight w:val="424"/>
        </w:trPr>
        <w:tc>
          <w:tcPr>
            <w:tcW w:w="1615" w:type="dxa"/>
            <w:vMerge/>
          </w:tcPr>
          <w:p w14:paraId="5E6073C9" w14:textId="77777777" w:rsidR="006301F5" w:rsidRPr="00D03374" w:rsidRDefault="006301F5" w:rsidP="00EE0810">
            <w:pPr>
              <w:rPr>
                <w:rFonts w:ascii="Calibri" w:hAnsi="Calibri" w:cs="Calibri"/>
                <w:sz w:val="18"/>
                <w:szCs w:val="18"/>
              </w:rPr>
            </w:pPr>
          </w:p>
        </w:tc>
        <w:tc>
          <w:tcPr>
            <w:tcW w:w="2770" w:type="dxa"/>
            <w:vMerge/>
          </w:tcPr>
          <w:p w14:paraId="3546C4BB" w14:textId="77777777" w:rsidR="006301F5" w:rsidRPr="00D03374" w:rsidRDefault="006301F5" w:rsidP="00EE0810">
            <w:pPr>
              <w:rPr>
                <w:rFonts w:ascii="Calibri" w:hAnsi="Calibri" w:cs="Calibri"/>
                <w:sz w:val="18"/>
                <w:szCs w:val="18"/>
              </w:rPr>
            </w:pPr>
          </w:p>
        </w:tc>
        <w:tc>
          <w:tcPr>
            <w:tcW w:w="1577" w:type="dxa"/>
            <w:vMerge/>
          </w:tcPr>
          <w:p w14:paraId="76F6042F" w14:textId="77777777" w:rsidR="006301F5" w:rsidRPr="00D03374" w:rsidRDefault="006301F5" w:rsidP="00EE0810">
            <w:pPr>
              <w:rPr>
                <w:rFonts w:ascii="Calibri" w:hAnsi="Calibri" w:cs="Calibri"/>
                <w:sz w:val="18"/>
                <w:szCs w:val="18"/>
              </w:rPr>
            </w:pPr>
          </w:p>
        </w:tc>
        <w:tc>
          <w:tcPr>
            <w:tcW w:w="1628" w:type="dxa"/>
            <w:vMerge/>
          </w:tcPr>
          <w:p w14:paraId="570B7F80" w14:textId="77777777" w:rsidR="006301F5" w:rsidRPr="00D03374" w:rsidRDefault="006301F5" w:rsidP="00EE0810">
            <w:pPr>
              <w:rPr>
                <w:rFonts w:ascii="Calibri" w:hAnsi="Calibri" w:cs="Calibri"/>
                <w:sz w:val="18"/>
                <w:szCs w:val="18"/>
              </w:rPr>
            </w:pPr>
          </w:p>
        </w:tc>
        <w:tc>
          <w:tcPr>
            <w:tcW w:w="1760" w:type="dxa"/>
          </w:tcPr>
          <w:p w14:paraId="6F273839" w14:textId="77777777" w:rsidR="006301F5" w:rsidRPr="00D03374" w:rsidRDefault="006301F5" w:rsidP="00EE0810">
            <w:pPr>
              <w:rPr>
                <w:rFonts w:ascii="Calibri" w:hAnsi="Calibri" w:cs="Calibri"/>
                <w:sz w:val="18"/>
                <w:szCs w:val="18"/>
              </w:rPr>
            </w:pPr>
            <w:r w:rsidRPr="00D219C5">
              <w:rPr>
                <w:rFonts w:ascii="Calibri" w:hAnsi="Calibri" w:cs="Calibri"/>
                <w:noProof/>
                <w:sz w:val="18"/>
                <w:szCs w:val="18"/>
              </w:rPr>
              <w:t>Yes</w:t>
            </w:r>
          </w:p>
        </w:tc>
      </w:tr>
    </w:tbl>
    <w:p w14:paraId="254A30CA" w14:textId="77777777" w:rsidR="002114D5" w:rsidRPr="00B051AC"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1558233E" w14:textId="77777777" w:rsidR="005B129F" w:rsidRDefault="005B129F" w:rsidP="005B129F">
      <w:pPr>
        <w:spacing w:after="0" w:line="240" w:lineRule="auto"/>
        <w:contextualSpacing/>
        <w:jc w:val="center"/>
        <w:rPr>
          <w:rFonts w:ascii="Calibri" w:hAnsi="Calibri" w:cs="Calibri"/>
          <w:b/>
          <w:bCs/>
          <w:sz w:val="32"/>
          <w:szCs w:val="32"/>
        </w:rPr>
      </w:pPr>
    </w:p>
    <w:p w14:paraId="714CC089" w14:textId="04B97A4B" w:rsidR="005B129F" w:rsidRDefault="005B129F" w:rsidP="005B129F">
      <w:pPr>
        <w:spacing w:after="0" w:line="240" w:lineRule="auto"/>
        <w:contextualSpacing/>
        <w:jc w:val="center"/>
        <w:rPr>
          <w:rFonts w:ascii="Calibri" w:hAnsi="Calibri" w:cs="Calibri"/>
          <w:b/>
          <w:bCs/>
          <w:sz w:val="32"/>
          <w:szCs w:val="32"/>
        </w:rPr>
      </w:pPr>
      <w:r>
        <w:rPr>
          <w:rFonts w:ascii="Calibri" w:hAnsi="Calibri" w:cs="Calibri"/>
          <w:b/>
          <w:bCs/>
          <w:sz w:val="32"/>
          <w:szCs w:val="32"/>
        </w:rPr>
        <w:t>Oral Presentations</w:t>
      </w:r>
    </w:p>
    <w:tbl>
      <w:tblPr>
        <w:tblStyle w:val="TableGridLight"/>
        <w:tblW w:w="9350" w:type="dxa"/>
        <w:tblLook w:val="04A0" w:firstRow="1" w:lastRow="0" w:firstColumn="1" w:lastColumn="0" w:noHBand="0" w:noVBand="1"/>
      </w:tblPr>
      <w:tblGrid>
        <w:gridCol w:w="979"/>
        <w:gridCol w:w="3311"/>
        <w:gridCol w:w="1456"/>
        <w:gridCol w:w="1809"/>
        <w:gridCol w:w="1795"/>
      </w:tblGrid>
      <w:tr w:rsidR="00A241A0" w:rsidRPr="00D03374" w14:paraId="26F4E230" w14:textId="77777777" w:rsidTr="007A13D5">
        <w:trPr>
          <w:trHeight w:val="425"/>
        </w:trPr>
        <w:tc>
          <w:tcPr>
            <w:tcW w:w="9350" w:type="dxa"/>
            <w:gridSpan w:val="5"/>
            <w:shd w:val="clear" w:color="auto" w:fill="A5C9EB" w:themeFill="text2" w:themeFillTint="40"/>
          </w:tcPr>
          <w:p w14:paraId="3735D338" w14:textId="141C6E6D" w:rsidR="00A241A0" w:rsidRPr="00340E15" w:rsidRDefault="00A241A0" w:rsidP="007A13D5">
            <w:pPr>
              <w:rPr>
                <w:rFonts w:ascii="Calibri" w:hAnsi="Calibri" w:cs="Calibri"/>
                <w:noProof/>
                <w:sz w:val="28"/>
                <w:szCs w:val="28"/>
              </w:rPr>
            </w:pPr>
            <w:bookmarkStart w:id="14" w:name="OralPresentations" w:colFirst="0" w:colLast="0"/>
            <w:r w:rsidRPr="001362AE">
              <w:rPr>
                <w:rFonts w:ascii="Calibri" w:hAnsi="Calibri" w:cs="Calibri"/>
                <w:noProof/>
                <w:sz w:val="28"/>
                <w:szCs w:val="28"/>
              </w:rPr>
              <w:t>Oral Session 1</w:t>
            </w:r>
            <w:r w:rsidR="00BA647F">
              <w:rPr>
                <w:rFonts w:ascii="Calibri" w:hAnsi="Calibri" w:cs="Calibri"/>
                <w:noProof/>
                <w:sz w:val="28"/>
                <w:szCs w:val="28"/>
              </w:rPr>
              <w:t>A</w:t>
            </w:r>
            <w:r w:rsidRPr="00340E15">
              <w:rPr>
                <w:rFonts w:ascii="Calibri" w:hAnsi="Calibri" w:cs="Calibri"/>
                <w:noProof/>
                <w:sz w:val="28"/>
                <w:szCs w:val="28"/>
              </w:rPr>
              <w:t>--KOBC 200</w:t>
            </w:r>
          </w:p>
        </w:tc>
      </w:tr>
      <w:bookmarkEnd w:id="14"/>
      <w:tr w:rsidR="00A241A0" w:rsidRPr="00D03374" w14:paraId="6760A626"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1B9612EC" w14:textId="77777777" w:rsidR="00A241A0" w:rsidRPr="00340E15" w:rsidRDefault="00A241A0" w:rsidP="007A13D5">
            <w:pPr>
              <w:rPr>
                <w:rFonts w:ascii="Calibri" w:hAnsi="Calibri" w:cs="Calibri"/>
                <w:noProof/>
                <w:sz w:val="22"/>
                <w:szCs w:val="22"/>
              </w:rPr>
            </w:pPr>
            <w:r w:rsidRPr="00340E15">
              <w:rPr>
                <w:rFonts w:ascii="Calibri" w:hAnsi="Calibri" w:cs="Calibri"/>
                <w:noProof/>
                <w:sz w:val="22"/>
                <w:szCs w:val="22"/>
              </w:rPr>
              <w:t xml:space="preserve">Section:  </w:t>
            </w:r>
            <w:bookmarkStart w:id="15" w:name="OralPresentationMicroCellMolec1"/>
            <w:r w:rsidRPr="001362AE">
              <w:rPr>
                <w:rFonts w:ascii="Calibri" w:hAnsi="Calibri" w:cs="Calibri"/>
                <w:noProof/>
                <w:sz w:val="22"/>
                <w:szCs w:val="22"/>
              </w:rPr>
              <w:t>Microbiology, Cell Biology, Molecular Biology I</w:t>
            </w:r>
            <w:bookmarkEnd w:id="15"/>
          </w:p>
        </w:tc>
      </w:tr>
      <w:tr w:rsidR="00A241A0" w:rsidRPr="00D03374" w14:paraId="29375FDC" w14:textId="77777777" w:rsidTr="007A13D5">
        <w:trPr>
          <w:trHeight w:hRule="exact" w:val="288"/>
        </w:trPr>
        <w:tc>
          <w:tcPr>
            <w:tcW w:w="979" w:type="dxa"/>
            <w:shd w:val="clear" w:color="auto" w:fill="D9F2D0" w:themeFill="accent6" w:themeFillTint="33"/>
          </w:tcPr>
          <w:p w14:paraId="01D2E569" w14:textId="77777777" w:rsidR="00A241A0" w:rsidRDefault="00A241A0" w:rsidP="007A13D5">
            <w:pPr>
              <w:rPr>
                <w:rFonts w:ascii="Calibri" w:hAnsi="Calibri" w:cs="Calibri"/>
                <w:noProof/>
                <w:sz w:val="18"/>
                <w:szCs w:val="18"/>
              </w:rPr>
            </w:pPr>
            <w:r>
              <w:rPr>
                <w:rFonts w:ascii="Calibri" w:hAnsi="Calibri" w:cs="Calibri"/>
                <w:noProof/>
                <w:sz w:val="18"/>
                <w:szCs w:val="18"/>
              </w:rPr>
              <w:t>Abstract #</w:t>
            </w:r>
          </w:p>
          <w:p w14:paraId="12B7AC50" w14:textId="77777777" w:rsidR="00A241A0" w:rsidRDefault="00A241A0" w:rsidP="007A13D5">
            <w:pPr>
              <w:rPr>
                <w:rFonts w:ascii="Calibri" w:hAnsi="Calibri" w:cs="Calibri"/>
                <w:noProof/>
                <w:sz w:val="18"/>
                <w:szCs w:val="18"/>
              </w:rPr>
            </w:pPr>
          </w:p>
        </w:tc>
        <w:tc>
          <w:tcPr>
            <w:tcW w:w="3311" w:type="dxa"/>
            <w:shd w:val="clear" w:color="auto" w:fill="D9F2D0" w:themeFill="accent6" w:themeFillTint="33"/>
          </w:tcPr>
          <w:p w14:paraId="2B5A3143" w14:textId="77777777" w:rsidR="00A241A0" w:rsidRPr="00D03374" w:rsidRDefault="00A241A0"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3E20AAA9" w14:textId="77777777" w:rsidR="00A241A0" w:rsidRDefault="00A241A0"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063FEEA3" w14:textId="77777777" w:rsidR="00A241A0" w:rsidRDefault="00A241A0"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5DB2A380" w14:textId="77777777" w:rsidR="00A241A0" w:rsidRDefault="00A241A0" w:rsidP="007A13D5">
            <w:pPr>
              <w:rPr>
                <w:rFonts w:ascii="Calibri" w:hAnsi="Calibri" w:cs="Calibri"/>
                <w:noProof/>
                <w:sz w:val="18"/>
                <w:szCs w:val="18"/>
              </w:rPr>
            </w:pPr>
            <w:r>
              <w:rPr>
                <w:rFonts w:ascii="Calibri" w:hAnsi="Calibri" w:cs="Calibri"/>
                <w:noProof/>
                <w:sz w:val="18"/>
                <w:szCs w:val="18"/>
              </w:rPr>
              <w:t>Time/Room/Derieux?</w:t>
            </w:r>
          </w:p>
        </w:tc>
      </w:tr>
      <w:tr w:rsidR="00A241A0" w:rsidRPr="00D03374" w14:paraId="7B0FAAC6" w14:textId="77777777" w:rsidTr="007A13D5">
        <w:trPr>
          <w:trHeight w:val="425"/>
        </w:trPr>
        <w:tc>
          <w:tcPr>
            <w:tcW w:w="979" w:type="dxa"/>
            <w:vMerge w:val="restart"/>
          </w:tcPr>
          <w:p w14:paraId="4C654626" w14:textId="77777777" w:rsidR="00A241A0" w:rsidRPr="00D03374" w:rsidRDefault="00A241A0"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p>
        </w:tc>
        <w:tc>
          <w:tcPr>
            <w:tcW w:w="3311" w:type="dxa"/>
            <w:vMerge w:val="restart"/>
          </w:tcPr>
          <w:p w14:paraId="644107BA"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 xml:space="preserve">Comparative analysis of carvacrol content in oregano oils and efficacy against </w:t>
            </w:r>
            <w:r w:rsidRPr="000D6D8E">
              <w:rPr>
                <w:rFonts w:ascii="Calibri" w:hAnsi="Calibri" w:cs="Calibri"/>
                <w:i/>
                <w:iCs/>
                <w:noProof/>
                <w:sz w:val="18"/>
                <w:szCs w:val="18"/>
              </w:rPr>
              <w:t>Pseudomonas aeruginosa</w:t>
            </w:r>
          </w:p>
        </w:tc>
        <w:tc>
          <w:tcPr>
            <w:tcW w:w="1456" w:type="dxa"/>
            <w:vMerge w:val="restart"/>
          </w:tcPr>
          <w:p w14:paraId="2DD2684D"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Manea, Naomi*</w:t>
            </w:r>
          </w:p>
        </w:tc>
        <w:tc>
          <w:tcPr>
            <w:tcW w:w="1809" w:type="dxa"/>
            <w:vMerge w:val="restart"/>
          </w:tcPr>
          <w:p w14:paraId="7BF823DE"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7984E9F1"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8:30-8:45 AM</w:t>
            </w:r>
          </w:p>
        </w:tc>
      </w:tr>
      <w:tr w:rsidR="00A241A0" w:rsidRPr="00D03374" w14:paraId="6DF8A5D0" w14:textId="77777777" w:rsidTr="007A13D5">
        <w:trPr>
          <w:trHeight w:val="424"/>
        </w:trPr>
        <w:tc>
          <w:tcPr>
            <w:tcW w:w="979" w:type="dxa"/>
            <w:vMerge/>
          </w:tcPr>
          <w:p w14:paraId="2317613F" w14:textId="77777777" w:rsidR="00A241A0" w:rsidRPr="00D03374" w:rsidRDefault="00A241A0" w:rsidP="007A13D5">
            <w:pPr>
              <w:rPr>
                <w:rFonts w:ascii="Calibri" w:hAnsi="Calibri" w:cs="Calibri"/>
                <w:sz w:val="18"/>
                <w:szCs w:val="18"/>
              </w:rPr>
            </w:pPr>
          </w:p>
        </w:tc>
        <w:tc>
          <w:tcPr>
            <w:tcW w:w="3311" w:type="dxa"/>
            <w:vMerge/>
          </w:tcPr>
          <w:p w14:paraId="52FA7657" w14:textId="77777777" w:rsidR="00A241A0" w:rsidRPr="00D03374" w:rsidRDefault="00A241A0" w:rsidP="007A13D5">
            <w:pPr>
              <w:rPr>
                <w:rFonts w:ascii="Calibri" w:hAnsi="Calibri" w:cs="Calibri"/>
                <w:sz w:val="18"/>
                <w:szCs w:val="18"/>
              </w:rPr>
            </w:pPr>
          </w:p>
        </w:tc>
        <w:tc>
          <w:tcPr>
            <w:tcW w:w="1456" w:type="dxa"/>
            <w:vMerge/>
          </w:tcPr>
          <w:p w14:paraId="6D9ADA3E" w14:textId="77777777" w:rsidR="00A241A0" w:rsidRPr="00D03374" w:rsidRDefault="00A241A0" w:rsidP="007A13D5">
            <w:pPr>
              <w:rPr>
                <w:rFonts w:ascii="Calibri" w:hAnsi="Calibri" w:cs="Calibri"/>
                <w:sz w:val="18"/>
                <w:szCs w:val="18"/>
              </w:rPr>
            </w:pPr>
          </w:p>
        </w:tc>
        <w:tc>
          <w:tcPr>
            <w:tcW w:w="1809" w:type="dxa"/>
            <w:vMerge/>
          </w:tcPr>
          <w:p w14:paraId="68B37947" w14:textId="77777777" w:rsidR="00A241A0" w:rsidRPr="00D03374" w:rsidRDefault="00A241A0" w:rsidP="007A13D5">
            <w:pPr>
              <w:rPr>
                <w:rFonts w:ascii="Calibri" w:hAnsi="Calibri" w:cs="Calibri"/>
                <w:sz w:val="18"/>
                <w:szCs w:val="18"/>
              </w:rPr>
            </w:pPr>
          </w:p>
        </w:tc>
        <w:tc>
          <w:tcPr>
            <w:tcW w:w="1795" w:type="dxa"/>
          </w:tcPr>
          <w:p w14:paraId="48408344"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KOBC 200</w:t>
            </w:r>
          </w:p>
        </w:tc>
      </w:tr>
      <w:tr w:rsidR="00A241A0" w:rsidRPr="00D03374" w14:paraId="0F1EAF33" w14:textId="77777777" w:rsidTr="007A13D5">
        <w:trPr>
          <w:trHeight w:val="424"/>
        </w:trPr>
        <w:tc>
          <w:tcPr>
            <w:tcW w:w="979" w:type="dxa"/>
            <w:vMerge/>
          </w:tcPr>
          <w:p w14:paraId="76FDFBCB" w14:textId="77777777" w:rsidR="00A241A0" w:rsidRPr="00D03374" w:rsidRDefault="00A241A0" w:rsidP="007A13D5">
            <w:pPr>
              <w:rPr>
                <w:rFonts w:ascii="Calibri" w:hAnsi="Calibri" w:cs="Calibri"/>
                <w:sz w:val="18"/>
                <w:szCs w:val="18"/>
              </w:rPr>
            </w:pPr>
          </w:p>
        </w:tc>
        <w:tc>
          <w:tcPr>
            <w:tcW w:w="3311" w:type="dxa"/>
            <w:vMerge/>
          </w:tcPr>
          <w:p w14:paraId="08B195DB" w14:textId="77777777" w:rsidR="00A241A0" w:rsidRPr="00D03374" w:rsidRDefault="00A241A0" w:rsidP="007A13D5">
            <w:pPr>
              <w:rPr>
                <w:rFonts w:ascii="Calibri" w:hAnsi="Calibri" w:cs="Calibri"/>
                <w:sz w:val="18"/>
                <w:szCs w:val="18"/>
              </w:rPr>
            </w:pPr>
          </w:p>
        </w:tc>
        <w:tc>
          <w:tcPr>
            <w:tcW w:w="1456" w:type="dxa"/>
            <w:vMerge/>
          </w:tcPr>
          <w:p w14:paraId="1FCEB6D2" w14:textId="77777777" w:rsidR="00A241A0" w:rsidRPr="00D03374" w:rsidRDefault="00A241A0" w:rsidP="007A13D5">
            <w:pPr>
              <w:rPr>
                <w:rFonts w:ascii="Calibri" w:hAnsi="Calibri" w:cs="Calibri"/>
                <w:sz w:val="18"/>
                <w:szCs w:val="18"/>
              </w:rPr>
            </w:pPr>
          </w:p>
        </w:tc>
        <w:tc>
          <w:tcPr>
            <w:tcW w:w="1809" w:type="dxa"/>
            <w:vMerge/>
          </w:tcPr>
          <w:p w14:paraId="58485BF9" w14:textId="77777777" w:rsidR="00A241A0" w:rsidRPr="00D03374" w:rsidRDefault="00A241A0" w:rsidP="007A13D5">
            <w:pPr>
              <w:rPr>
                <w:rFonts w:ascii="Calibri" w:hAnsi="Calibri" w:cs="Calibri"/>
                <w:sz w:val="18"/>
                <w:szCs w:val="18"/>
              </w:rPr>
            </w:pPr>
          </w:p>
        </w:tc>
        <w:tc>
          <w:tcPr>
            <w:tcW w:w="1795" w:type="dxa"/>
          </w:tcPr>
          <w:p w14:paraId="6AFD3672"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Yes</w:t>
            </w:r>
          </w:p>
        </w:tc>
      </w:tr>
      <w:tr w:rsidR="00A241A0" w:rsidRPr="00D03374" w14:paraId="7310A98F" w14:textId="77777777" w:rsidTr="007A13D5">
        <w:trPr>
          <w:trHeight w:val="425"/>
        </w:trPr>
        <w:tc>
          <w:tcPr>
            <w:tcW w:w="979" w:type="dxa"/>
            <w:vMerge w:val="restart"/>
          </w:tcPr>
          <w:p w14:paraId="2733EDB4" w14:textId="77777777" w:rsidR="00A241A0" w:rsidRPr="00D03374" w:rsidRDefault="00A241A0"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p>
        </w:tc>
        <w:tc>
          <w:tcPr>
            <w:tcW w:w="3311" w:type="dxa"/>
            <w:vMerge w:val="restart"/>
          </w:tcPr>
          <w:p w14:paraId="0E32D262"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 xml:space="preserve">Bacteriophage and surfactant mediation of </w:t>
            </w:r>
            <w:r w:rsidRPr="000D6D8E">
              <w:rPr>
                <w:rFonts w:ascii="Calibri" w:hAnsi="Calibri" w:cs="Calibri"/>
                <w:i/>
                <w:iCs/>
                <w:noProof/>
                <w:sz w:val="18"/>
                <w:szCs w:val="18"/>
              </w:rPr>
              <w:t>Pseudomonas aeruginosa</w:t>
            </w:r>
            <w:r w:rsidRPr="001362AE">
              <w:rPr>
                <w:rFonts w:ascii="Calibri" w:hAnsi="Calibri" w:cs="Calibri"/>
                <w:noProof/>
                <w:sz w:val="18"/>
                <w:szCs w:val="18"/>
              </w:rPr>
              <w:t xml:space="preserve"> biofilms in vitro: A potential therapeutic strategy for cystic fibrosis</w:t>
            </w:r>
          </w:p>
        </w:tc>
        <w:tc>
          <w:tcPr>
            <w:tcW w:w="1456" w:type="dxa"/>
            <w:vMerge w:val="restart"/>
          </w:tcPr>
          <w:p w14:paraId="4EBDB1B9"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Alexander, Anna*</w:t>
            </w:r>
          </w:p>
        </w:tc>
        <w:tc>
          <w:tcPr>
            <w:tcW w:w="1809" w:type="dxa"/>
            <w:vMerge w:val="restart"/>
          </w:tcPr>
          <w:p w14:paraId="5E57E1EB"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6C82DACC"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8:45-9:00 AM</w:t>
            </w:r>
          </w:p>
        </w:tc>
      </w:tr>
      <w:tr w:rsidR="00A241A0" w:rsidRPr="00D03374" w14:paraId="390779F8" w14:textId="77777777" w:rsidTr="007A13D5">
        <w:trPr>
          <w:trHeight w:val="424"/>
        </w:trPr>
        <w:tc>
          <w:tcPr>
            <w:tcW w:w="979" w:type="dxa"/>
            <w:vMerge/>
          </w:tcPr>
          <w:p w14:paraId="6145D10D" w14:textId="77777777" w:rsidR="00A241A0" w:rsidRPr="00D03374" w:rsidRDefault="00A241A0" w:rsidP="007A13D5">
            <w:pPr>
              <w:rPr>
                <w:rFonts w:ascii="Calibri" w:hAnsi="Calibri" w:cs="Calibri"/>
                <w:sz w:val="18"/>
                <w:szCs w:val="18"/>
              </w:rPr>
            </w:pPr>
          </w:p>
        </w:tc>
        <w:tc>
          <w:tcPr>
            <w:tcW w:w="3311" w:type="dxa"/>
            <w:vMerge/>
          </w:tcPr>
          <w:p w14:paraId="4E71D489" w14:textId="77777777" w:rsidR="00A241A0" w:rsidRPr="00D03374" w:rsidRDefault="00A241A0" w:rsidP="007A13D5">
            <w:pPr>
              <w:rPr>
                <w:rFonts w:ascii="Calibri" w:hAnsi="Calibri" w:cs="Calibri"/>
                <w:sz w:val="18"/>
                <w:szCs w:val="18"/>
              </w:rPr>
            </w:pPr>
          </w:p>
        </w:tc>
        <w:tc>
          <w:tcPr>
            <w:tcW w:w="1456" w:type="dxa"/>
            <w:vMerge/>
          </w:tcPr>
          <w:p w14:paraId="7FF36C6C" w14:textId="77777777" w:rsidR="00A241A0" w:rsidRPr="00D03374" w:rsidRDefault="00A241A0" w:rsidP="007A13D5">
            <w:pPr>
              <w:rPr>
                <w:rFonts w:ascii="Calibri" w:hAnsi="Calibri" w:cs="Calibri"/>
                <w:sz w:val="18"/>
                <w:szCs w:val="18"/>
              </w:rPr>
            </w:pPr>
          </w:p>
        </w:tc>
        <w:tc>
          <w:tcPr>
            <w:tcW w:w="1809" w:type="dxa"/>
            <w:vMerge/>
          </w:tcPr>
          <w:p w14:paraId="38937793" w14:textId="77777777" w:rsidR="00A241A0" w:rsidRPr="00D03374" w:rsidRDefault="00A241A0" w:rsidP="007A13D5">
            <w:pPr>
              <w:rPr>
                <w:rFonts w:ascii="Calibri" w:hAnsi="Calibri" w:cs="Calibri"/>
                <w:sz w:val="18"/>
                <w:szCs w:val="18"/>
              </w:rPr>
            </w:pPr>
          </w:p>
        </w:tc>
        <w:tc>
          <w:tcPr>
            <w:tcW w:w="1795" w:type="dxa"/>
          </w:tcPr>
          <w:p w14:paraId="0C5F247D"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KOBC 200</w:t>
            </w:r>
          </w:p>
        </w:tc>
      </w:tr>
      <w:tr w:rsidR="00A241A0" w:rsidRPr="00D03374" w14:paraId="7A0FF853" w14:textId="77777777" w:rsidTr="007A13D5">
        <w:trPr>
          <w:trHeight w:val="424"/>
        </w:trPr>
        <w:tc>
          <w:tcPr>
            <w:tcW w:w="979" w:type="dxa"/>
            <w:vMerge/>
          </w:tcPr>
          <w:p w14:paraId="6EDEFF86" w14:textId="77777777" w:rsidR="00A241A0" w:rsidRPr="00D03374" w:rsidRDefault="00A241A0" w:rsidP="007A13D5">
            <w:pPr>
              <w:rPr>
                <w:rFonts w:ascii="Calibri" w:hAnsi="Calibri" w:cs="Calibri"/>
                <w:sz w:val="18"/>
                <w:szCs w:val="18"/>
              </w:rPr>
            </w:pPr>
          </w:p>
        </w:tc>
        <w:tc>
          <w:tcPr>
            <w:tcW w:w="3311" w:type="dxa"/>
            <w:vMerge/>
          </w:tcPr>
          <w:p w14:paraId="7BFDAF1D" w14:textId="77777777" w:rsidR="00A241A0" w:rsidRPr="00D03374" w:rsidRDefault="00A241A0" w:rsidP="007A13D5">
            <w:pPr>
              <w:rPr>
                <w:rFonts w:ascii="Calibri" w:hAnsi="Calibri" w:cs="Calibri"/>
                <w:sz w:val="18"/>
                <w:szCs w:val="18"/>
              </w:rPr>
            </w:pPr>
          </w:p>
        </w:tc>
        <w:tc>
          <w:tcPr>
            <w:tcW w:w="1456" w:type="dxa"/>
            <w:vMerge/>
          </w:tcPr>
          <w:p w14:paraId="4E33DA0E" w14:textId="77777777" w:rsidR="00A241A0" w:rsidRPr="00D03374" w:rsidRDefault="00A241A0" w:rsidP="007A13D5">
            <w:pPr>
              <w:rPr>
                <w:rFonts w:ascii="Calibri" w:hAnsi="Calibri" w:cs="Calibri"/>
                <w:sz w:val="18"/>
                <w:szCs w:val="18"/>
              </w:rPr>
            </w:pPr>
          </w:p>
        </w:tc>
        <w:tc>
          <w:tcPr>
            <w:tcW w:w="1809" w:type="dxa"/>
            <w:vMerge/>
          </w:tcPr>
          <w:p w14:paraId="364121EE" w14:textId="77777777" w:rsidR="00A241A0" w:rsidRPr="00D03374" w:rsidRDefault="00A241A0" w:rsidP="007A13D5">
            <w:pPr>
              <w:rPr>
                <w:rFonts w:ascii="Calibri" w:hAnsi="Calibri" w:cs="Calibri"/>
                <w:sz w:val="18"/>
                <w:szCs w:val="18"/>
              </w:rPr>
            </w:pPr>
          </w:p>
        </w:tc>
        <w:tc>
          <w:tcPr>
            <w:tcW w:w="1795" w:type="dxa"/>
          </w:tcPr>
          <w:p w14:paraId="7BBF6EF0"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Yes</w:t>
            </w:r>
          </w:p>
        </w:tc>
      </w:tr>
      <w:tr w:rsidR="00A241A0" w:rsidRPr="00D03374" w14:paraId="0E1327D7" w14:textId="77777777" w:rsidTr="007A13D5">
        <w:trPr>
          <w:trHeight w:val="425"/>
        </w:trPr>
        <w:tc>
          <w:tcPr>
            <w:tcW w:w="979" w:type="dxa"/>
            <w:vMerge w:val="restart"/>
          </w:tcPr>
          <w:p w14:paraId="51B69431" w14:textId="77777777" w:rsidR="00A241A0" w:rsidRPr="00D03374" w:rsidRDefault="00A241A0"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3</w:t>
            </w:r>
          </w:p>
        </w:tc>
        <w:tc>
          <w:tcPr>
            <w:tcW w:w="3311" w:type="dxa"/>
            <w:vMerge w:val="restart"/>
          </w:tcPr>
          <w:p w14:paraId="6460085F"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Antimicrobial activity of Cuachalalate (</w:t>
            </w:r>
            <w:r w:rsidRPr="000D6D8E">
              <w:rPr>
                <w:rFonts w:ascii="Calibri" w:hAnsi="Calibri" w:cs="Calibri"/>
                <w:i/>
                <w:iCs/>
                <w:noProof/>
                <w:sz w:val="18"/>
                <w:szCs w:val="18"/>
              </w:rPr>
              <w:t>Amphipterygium adstrigens</w:t>
            </w:r>
            <w:r w:rsidRPr="001362AE">
              <w:rPr>
                <w:rFonts w:ascii="Calibri" w:hAnsi="Calibri" w:cs="Calibri"/>
                <w:noProof/>
                <w:sz w:val="18"/>
                <w:szCs w:val="18"/>
              </w:rPr>
              <w:t>) via traditional folk remedy extraction methods.</w:t>
            </w:r>
          </w:p>
        </w:tc>
        <w:tc>
          <w:tcPr>
            <w:tcW w:w="1456" w:type="dxa"/>
            <w:vMerge w:val="restart"/>
          </w:tcPr>
          <w:p w14:paraId="532E05EB"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Lopez-Alvarez* Crystal* I. , Michelle S. Thomas.</w:t>
            </w:r>
          </w:p>
        </w:tc>
        <w:tc>
          <w:tcPr>
            <w:tcW w:w="1809" w:type="dxa"/>
            <w:vMerge w:val="restart"/>
          </w:tcPr>
          <w:p w14:paraId="27A5E74F"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Campbell University</w:t>
            </w:r>
          </w:p>
        </w:tc>
        <w:tc>
          <w:tcPr>
            <w:tcW w:w="1795" w:type="dxa"/>
          </w:tcPr>
          <w:p w14:paraId="22A77A7F"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9:00-9:15 AM</w:t>
            </w:r>
          </w:p>
        </w:tc>
      </w:tr>
      <w:tr w:rsidR="00A241A0" w:rsidRPr="00D03374" w14:paraId="583B766B" w14:textId="77777777" w:rsidTr="007A13D5">
        <w:trPr>
          <w:trHeight w:val="424"/>
        </w:trPr>
        <w:tc>
          <w:tcPr>
            <w:tcW w:w="979" w:type="dxa"/>
            <w:vMerge/>
          </w:tcPr>
          <w:p w14:paraId="0FEC2472" w14:textId="77777777" w:rsidR="00A241A0" w:rsidRPr="00D03374" w:rsidRDefault="00A241A0" w:rsidP="007A13D5">
            <w:pPr>
              <w:rPr>
                <w:rFonts w:ascii="Calibri" w:hAnsi="Calibri" w:cs="Calibri"/>
                <w:sz w:val="18"/>
                <w:szCs w:val="18"/>
              </w:rPr>
            </w:pPr>
          </w:p>
        </w:tc>
        <w:tc>
          <w:tcPr>
            <w:tcW w:w="3311" w:type="dxa"/>
            <w:vMerge/>
          </w:tcPr>
          <w:p w14:paraId="713EEBDF" w14:textId="77777777" w:rsidR="00A241A0" w:rsidRPr="00D03374" w:rsidRDefault="00A241A0" w:rsidP="007A13D5">
            <w:pPr>
              <w:rPr>
                <w:rFonts w:ascii="Calibri" w:hAnsi="Calibri" w:cs="Calibri"/>
                <w:sz w:val="18"/>
                <w:szCs w:val="18"/>
              </w:rPr>
            </w:pPr>
          </w:p>
        </w:tc>
        <w:tc>
          <w:tcPr>
            <w:tcW w:w="1456" w:type="dxa"/>
            <w:vMerge/>
          </w:tcPr>
          <w:p w14:paraId="15EBCEA3" w14:textId="77777777" w:rsidR="00A241A0" w:rsidRPr="00D03374" w:rsidRDefault="00A241A0" w:rsidP="007A13D5">
            <w:pPr>
              <w:rPr>
                <w:rFonts w:ascii="Calibri" w:hAnsi="Calibri" w:cs="Calibri"/>
                <w:sz w:val="18"/>
                <w:szCs w:val="18"/>
              </w:rPr>
            </w:pPr>
          </w:p>
        </w:tc>
        <w:tc>
          <w:tcPr>
            <w:tcW w:w="1809" w:type="dxa"/>
            <w:vMerge/>
          </w:tcPr>
          <w:p w14:paraId="12630A2D" w14:textId="77777777" w:rsidR="00A241A0" w:rsidRPr="00D03374" w:rsidRDefault="00A241A0" w:rsidP="007A13D5">
            <w:pPr>
              <w:rPr>
                <w:rFonts w:ascii="Calibri" w:hAnsi="Calibri" w:cs="Calibri"/>
                <w:sz w:val="18"/>
                <w:szCs w:val="18"/>
              </w:rPr>
            </w:pPr>
          </w:p>
        </w:tc>
        <w:tc>
          <w:tcPr>
            <w:tcW w:w="1795" w:type="dxa"/>
          </w:tcPr>
          <w:p w14:paraId="7C8A1458"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KOBC 200</w:t>
            </w:r>
          </w:p>
        </w:tc>
      </w:tr>
      <w:tr w:rsidR="00A241A0" w:rsidRPr="00D03374" w14:paraId="25FC51FA" w14:textId="77777777" w:rsidTr="007A13D5">
        <w:trPr>
          <w:trHeight w:val="424"/>
        </w:trPr>
        <w:tc>
          <w:tcPr>
            <w:tcW w:w="979" w:type="dxa"/>
            <w:vMerge/>
          </w:tcPr>
          <w:p w14:paraId="7C3AC9D9" w14:textId="77777777" w:rsidR="00A241A0" w:rsidRPr="00D03374" w:rsidRDefault="00A241A0" w:rsidP="007A13D5">
            <w:pPr>
              <w:rPr>
                <w:rFonts w:ascii="Calibri" w:hAnsi="Calibri" w:cs="Calibri"/>
                <w:sz w:val="18"/>
                <w:szCs w:val="18"/>
              </w:rPr>
            </w:pPr>
          </w:p>
        </w:tc>
        <w:tc>
          <w:tcPr>
            <w:tcW w:w="3311" w:type="dxa"/>
            <w:vMerge/>
          </w:tcPr>
          <w:p w14:paraId="765E8802" w14:textId="77777777" w:rsidR="00A241A0" w:rsidRPr="00D03374" w:rsidRDefault="00A241A0" w:rsidP="007A13D5">
            <w:pPr>
              <w:rPr>
                <w:rFonts w:ascii="Calibri" w:hAnsi="Calibri" w:cs="Calibri"/>
                <w:sz w:val="18"/>
                <w:szCs w:val="18"/>
              </w:rPr>
            </w:pPr>
          </w:p>
        </w:tc>
        <w:tc>
          <w:tcPr>
            <w:tcW w:w="1456" w:type="dxa"/>
            <w:vMerge/>
          </w:tcPr>
          <w:p w14:paraId="2394B06F" w14:textId="77777777" w:rsidR="00A241A0" w:rsidRPr="00D03374" w:rsidRDefault="00A241A0" w:rsidP="007A13D5">
            <w:pPr>
              <w:rPr>
                <w:rFonts w:ascii="Calibri" w:hAnsi="Calibri" w:cs="Calibri"/>
                <w:sz w:val="18"/>
                <w:szCs w:val="18"/>
              </w:rPr>
            </w:pPr>
          </w:p>
        </w:tc>
        <w:tc>
          <w:tcPr>
            <w:tcW w:w="1809" w:type="dxa"/>
            <w:vMerge/>
          </w:tcPr>
          <w:p w14:paraId="1A4167F8" w14:textId="77777777" w:rsidR="00A241A0" w:rsidRPr="00D03374" w:rsidRDefault="00A241A0" w:rsidP="007A13D5">
            <w:pPr>
              <w:rPr>
                <w:rFonts w:ascii="Calibri" w:hAnsi="Calibri" w:cs="Calibri"/>
                <w:sz w:val="18"/>
                <w:szCs w:val="18"/>
              </w:rPr>
            </w:pPr>
          </w:p>
        </w:tc>
        <w:tc>
          <w:tcPr>
            <w:tcW w:w="1795" w:type="dxa"/>
          </w:tcPr>
          <w:p w14:paraId="5A3E602C"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Yes</w:t>
            </w:r>
          </w:p>
        </w:tc>
      </w:tr>
      <w:tr w:rsidR="00A241A0" w:rsidRPr="00D03374" w14:paraId="5D47C9F1" w14:textId="77777777" w:rsidTr="007A13D5">
        <w:trPr>
          <w:trHeight w:val="425"/>
        </w:trPr>
        <w:tc>
          <w:tcPr>
            <w:tcW w:w="979" w:type="dxa"/>
            <w:vMerge w:val="restart"/>
          </w:tcPr>
          <w:p w14:paraId="5BE19D10" w14:textId="77777777" w:rsidR="00A241A0" w:rsidRPr="00D03374" w:rsidRDefault="00A241A0"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4</w:t>
            </w:r>
          </w:p>
        </w:tc>
        <w:tc>
          <w:tcPr>
            <w:tcW w:w="3311" w:type="dxa"/>
            <w:vMerge w:val="restart"/>
          </w:tcPr>
          <w:p w14:paraId="79536652"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 xml:space="preserve">Growth of </w:t>
            </w:r>
            <w:r w:rsidRPr="000D6D8E">
              <w:rPr>
                <w:rFonts w:ascii="Calibri" w:hAnsi="Calibri" w:cs="Calibri"/>
                <w:i/>
                <w:iCs/>
                <w:noProof/>
                <w:sz w:val="18"/>
                <w:szCs w:val="18"/>
              </w:rPr>
              <w:t>Fusobacterium nucleatum</w:t>
            </w:r>
            <w:r w:rsidRPr="001362AE">
              <w:rPr>
                <w:rFonts w:ascii="Calibri" w:hAnsi="Calibri" w:cs="Calibri"/>
                <w:noProof/>
                <w:sz w:val="18"/>
                <w:szCs w:val="18"/>
              </w:rPr>
              <w:t>: Method development and recovery of bacteriophage specific to the type strain</w:t>
            </w:r>
          </w:p>
        </w:tc>
        <w:tc>
          <w:tcPr>
            <w:tcW w:w="1456" w:type="dxa"/>
            <w:vMerge w:val="restart"/>
          </w:tcPr>
          <w:p w14:paraId="0F894D21"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Evitt, Mallory*</w:t>
            </w:r>
          </w:p>
        </w:tc>
        <w:tc>
          <w:tcPr>
            <w:tcW w:w="1809" w:type="dxa"/>
            <w:vMerge w:val="restart"/>
          </w:tcPr>
          <w:p w14:paraId="2160AFD9"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Lenior-Rhyne University</w:t>
            </w:r>
          </w:p>
        </w:tc>
        <w:tc>
          <w:tcPr>
            <w:tcW w:w="1795" w:type="dxa"/>
          </w:tcPr>
          <w:p w14:paraId="1546EEE7"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9:15-9:30 AM</w:t>
            </w:r>
          </w:p>
        </w:tc>
      </w:tr>
      <w:tr w:rsidR="00A241A0" w:rsidRPr="00D03374" w14:paraId="629EEA24" w14:textId="77777777" w:rsidTr="007A13D5">
        <w:trPr>
          <w:trHeight w:val="424"/>
        </w:trPr>
        <w:tc>
          <w:tcPr>
            <w:tcW w:w="979" w:type="dxa"/>
            <w:vMerge/>
          </w:tcPr>
          <w:p w14:paraId="261AFAF8" w14:textId="77777777" w:rsidR="00A241A0" w:rsidRPr="00D03374" w:rsidRDefault="00A241A0" w:rsidP="007A13D5">
            <w:pPr>
              <w:rPr>
                <w:rFonts w:ascii="Calibri" w:hAnsi="Calibri" w:cs="Calibri"/>
                <w:sz w:val="18"/>
                <w:szCs w:val="18"/>
              </w:rPr>
            </w:pPr>
          </w:p>
        </w:tc>
        <w:tc>
          <w:tcPr>
            <w:tcW w:w="3311" w:type="dxa"/>
            <w:vMerge/>
          </w:tcPr>
          <w:p w14:paraId="741ABC74" w14:textId="77777777" w:rsidR="00A241A0" w:rsidRPr="00D03374" w:rsidRDefault="00A241A0" w:rsidP="007A13D5">
            <w:pPr>
              <w:rPr>
                <w:rFonts w:ascii="Calibri" w:hAnsi="Calibri" w:cs="Calibri"/>
                <w:sz w:val="18"/>
                <w:szCs w:val="18"/>
              </w:rPr>
            </w:pPr>
          </w:p>
        </w:tc>
        <w:tc>
          <w:tcPr>
            <w:tcW w:w="1456" w:type="dxa"/>
            <w:vMerge/>
          </w:tcPr>
          <w:p w14:paraId="40BCAF78" w14:textId="77777777" w:rsidR="00A241A0" w:rsidRPr="00D03374" w:rsidRDefault="00A241A0" w:rsidP="007A13D5">
            <w:pPr>
              <w:rPr>
                <w:rFonts w:ascii="Calibri" w:hAnsi="Calibri" w:cs="Calibri"/>
                <w:sz w:val="18"/>
                <w:szCs w:val="18"/>
              </w:rPr>
            </w:pPr>
          </w:p>
        </w:tc>
        <w:tc>
          <w:tcPr>
            <w:tcW w:w="1809" w:type="dxa"/>
            <w:vMerge/>
          </w:tcPr>
          <w:p w14:paraId="21A455DA" w14:textId="77777777" w:rsidR="00A241A0" w:rsidRPr="00D03374" w:rsidRDefault="00A241A0" w:rsidP="007A13D5">
            <w:pPr>
              <w:rPr>
                <w:rFonts w:ascii="Calibri" w:hAnsi="Calibri" w:cs="Calibri"/>
                <w:sz w:val="18"/>
                <w:szCs w:val="18"/>
              </w:rPr>
            </w:pPr>
          </w:p>
        </w:tc>
        <w:tc>
          <w:tcPr>
            <w:tcW w:w="1795" w:type="dxa"/>
          </w:tcPr>
          <w:p w14:paraId="387E5C12"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KOBC 200</w:t>
            </w:r>
          </w:p>
        </w:tc>
      </w:tr>
      <w:tr w:rsidR="00A241A0" w:rsidRPr="00D03374" w14:paraId="50B35028" w14:textId="77777777" w:rsidTr="007A13D5">
        <w:trPr>
          <w:trHeight w:val="424"/>
        </w:trPr>
        <w:tc>
          <w:tcPr>
            <w:tcW w:w="979" w:type="dxa"/>
            <w:vMerge/>
          </w:tcPr>
          <w:p w14:paraId="05894B7C" w14:textId="77777777" w:rsidR="00A241A0" w:rsidRPr="00D03374" w:rsidRDefault="00A241A0" w:rsidP="007A13D5">
            <w:pPr>
              <w:rPr>
                <w:rFonts w:ascii="Calibri" w:hAnsi="Calibri" w:cs="Calibri"/>
                <w:sz w:val="18"/>
                <w:szCs w:val="18"/>
              </w:rPr>
            </w:pPr>
          </w:p>
        </w:tc>
        <w:tc>
          <w:tcPr>
            <w:tcW w:w="3311" w:type="dxa"/>
            <w:vMerge/>
          </w:tcPr>
          <w:p w14:paraId="7F2196CE" w14:textId="77777777" w:rsidR="00A241A0" w:rsidRPr="00D03374" w:rsidRDefault="00A241A0" w:rsidP="007A13D5">
            <w:pPr>
              <w:rPr>
                <w:rFonts w:ascii="Calibri" w:hAnsi="Calibri" w:cs="Calibri"/>
                <w:sz w:val="18"/>
                <w:szCs w:val="18"/>
              </w:rPr>
            </w:pPr>
          </w:p>
        </w:tc>
        <w:tc>
          <w:tcPr>
            <w:tcW w:w="1456" w:type="dxa"/>
            <w:vMerge/>
          </w:tcPr>
          <w:p w14:paraId="46A356F8" w14:textId="77777777" w:rsidR="00A241A0" w:rsidRPr="00D03374" w:rsidRDefault="00A241A0" w:rsidP="007A13D5">
            <w:pPr>
              <w:rPr>
                <w:rFonts w:ascii="Calibri" w:hAnsi="Calibri" w:cs="Calibri"/>
                <w:sz w:val="18"/>
                <w:szCs w:val="18"/>
              </w:rPr>
            </w:pPr>
          </w:p>
        </w:tc>
        <w:tc>
          <w:tcPr>
            <w:tcW w:w="1809" w:type="dxa"/>
            <w:vMerge/>
          </w:tcPr>
          <w:p w14:paraId="034C44EF" w14:textId="77777777" w:rsidR="00A241A0" w:rsidRPr="00D03374" w:rsidRDefault="00A241A0" w:rsidP="007A13D5">
            <w:pPr>
              <w:rPr>
                <w:rFonts w:ascii="Calibri" w:hAnsi="Calibri" w:cs="Calibri"/>
                <w:sz w:val="18"/>
                <w:szCs w:val="18"/>
              </w:rPr>
            </w:pPr>
          </w:p>
        </w:tc>
        <w:tc>
          <w:tcPr>
            <w:tcW w:w="1795" w:type="dxa"/>
          </w:tcPr>
          <w:p w14:paraId="1FFD3A53"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Yes</w:t>
            </w:r>
          </w:p>
        </w:tc>
      </w:tr>
      <w:tr w:rsidR="00A241A0" w:rsidRPr="00D03374" w14:paraId="56DF07EC" w14:textId="77777777" w:rsidTr="007A13D5">
        <w:trPr>
          <w:trHeight w:val="425"/>
        </w:trPr>
        <w:tc>
          <w:tcPr>
            <w:tcW w:w="979" w:type="dxa"/>
            <w:vMerge w:val="restart"/>
          </w:tcPr>
          <w:p w14:paraId="0A16DC63" w14:textId="77777777" w:rsidR="00A241A0" w:rsidRPr="00D03374" w:rsidRDefault="00A241A0"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5</w:t>
            </w:r>
          </w:p>
        </w:tc>
        <w:tc>
          <w:tcPr>
            <w:tcW w:w="3311" w:type="dxa"/>
            <w:vMerge w:val="restart"/>
          </w:tcPr>
          <w:p w14:paraId="2A116AE1"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Antimicrobial activity of cranberry, kiwi, and green-tea extracts against selected oral bacteria</w:t>
            </w:r>
          </w:p>
        </w:tc>
        <w:tc>
          <w:tcPr>
            <w:tcW w:w="1456" w:type="dxa"/>
            <w:vMerge w:val="restart"/>
          </w:tcPr>
          <w:p w14:paraId="793DF3F4"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Hull, Davis*</w:t>
            </w:r>
          </w:p>
        </w:tc>
        <w:tc>
          <w:tcPr>
            <w:tcW w:w="1809" w:type="dxa"/>
            <w:vMerge w:val="restart"/>
          </w:tcPr>
          <w:p w14:paraId="58C4DD03"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135FA238"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9:30-9:45 AM</w:t>
            </w:r>
          </w:p>
        </w:tc>
      </w:tr>
      <w:tr w:rsidR="00A241A0" w:rsidRPr="00D03374" w14:paraId="1B16B352" w14:textId="77777777" w:rsidTr="007A13D5">
        <w:trPr>
          <w:trHeight w:val="424"/>
        </w:trPr>
        <w:tc>
          <w:tcPr>
            <w:tcW w:w="979" w:type="dxa"/>
            <w:vMerge/>
          </w:tcPr>
          <w:p w14:paraId="453FD0CF" w14:textId="77777777" w:rsidR="00A241A0" w:rsidRPr="00D03374" w:rsidRDefault="00A241A0" w:rsidP="007A13D5">
            <w:pPr>
              <w:rPr>
                <w:rFonts w:ascii="Calibri" w:hAnsi="Calibri" w:cs="Calibri"/>
                <w:sz w:val="18"/>
                <w:szCs w:val="18"/>
              </w:rPr>
            </w:pPr>
          </w:p>
        </w:tc>
        <w:tc>
          <w:tcPr>
            <w:tcW w:w="3311" w:type="dxa"/>
            <w:vMerge/>
          </w:tcPr>
          <w:p w14:paraId="3C3A7A81" w14:textId="77777777" w:rsidR="00A241A0" w:rsidRPr="00D03374" w:rsidRDefault="00A241A0" w:rsidP="007A13D5">
            <w:pPr>
              <w:rPr>
                <w:rFonts w:ascii="Calibri" w:hAnsi="Calibri" w:cs="Calibri"/>
                <w:sz w:val="18"/>
                <w:szCs w:val="18"/>
              </w:rPr>
            </w:pPr>
          </w:p>
        </w:tc>
        <w:tc>
          <w:tcPr>
            <w:tcW w:w="1456" w:type="dxa"/>
            <w:vMerge/>
          </w:tcPr>
          <w:p w14:paraId="2A7A7085" w14:textId="77777777" w:rsidR="00A241A0" w:rsidRPr="00D03374" w:rsidRDefault="00A241A0" w:rsidP="007A13D5">
            <w:pPr>
              <w:rPr>
                <w:rFonts w:ascii="Calibri" w:hAnsi="Calibri" w:cs="Calibri"/>
                <w:sz w:val="18"/>
                <w:szCs w:val="18"/>
              </w:rPr>
            </w:pPr>
          </w:p>
        </w:tc>
        <w:tc>
          <w:tcPr>
            <w:tcW w:w="1809" w:type="dxa"/>
            <w:vMerge/>
          </w:tcPr>
          <w:p w14:paraId="363B66FF" w14:textId="77777777" w:rsidR="00A241A0" w:rsidRPr="00D03374" w:rsidRDefault="00A241A0" w:rsidP="007A13D5">
            <w:pPr>
              <w:rPr>
                <w:rFonts w:ascii="Calibri" w:hAnsi="Calibri" w:cs="Calibri"/>
                <w:sz w:val="18"/>
                <w:szCs w:val="18"/>
              </w:rPr>
            </w:pPr>
          </w:p>
        </w:tc>
        <w:tc>
          <w:tcPr>
            <w:tcW w:w="1795" w:type="dxa"/>
          </w:tcPr>
          <w:p w14:paraId="1FEB25D2"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KOBC 200</w:t>
            </w:r>
          </w:p>
        </w:tc>
      </w:tr>
      <w:tr w:rsidR="00A241A0" w:rsidRPr="00D03374" w14:paraId="09A185F5" w14:textId="77777777" w:rsidTr="007A13D5">
        <w:trPr>
          <w:trHeight w:val="424"/>
        </w:trPr>
        <w:tc>
          <w:tcPr>
            <w:tcW w:w="979" w:type="dxa"/>
            <w:vMerge/>
          </w:tcPr>
          <w:p w14:paraId="50EA15F2" w14:textId="77777777" w:rsidR="00A241A0" w:rsidRPr="00D03374" w:rsidRDefault="00A241A0" w:rsidP="007A13D5">
            <w:pPr>
              <w:rPr>
                <w:rFonts w:ascii="Calibri" w:hAnsi="Calibri" w:cs="Calibri"/>
                <w:sz w:val="18"/>
                <w:szCs w:val="18"/>
              </w:rPr>
            </w:pPr>
          </w:p>
        </w:tc>
        <w:tc>
          <w:tcPr>
            <w:tcW w:w="3311" w:type="dxa"/>
            <w:vMerge/>
          </w:tcPr>
          <w:p w14:paraId="3F58D7DB" w14:textId="77777777" w:rsidR="00A241A0" w:rsidRPr="00D03374" w:rsidRDefault="00A241A0" w:rsidP="007A13D5">
            <w:pPr>
              <w:rPr>
                <w:rFonts w:ascii="Calibri" w:hAnsi="Calibri" w:cs="Calibri"/>
                <w:sz w:val="18"/>
                <w:szCs w:val="18"/>
              </w:rPr>
            </w:pPr>
          </w:p>
        </w:tc>
        <w:tc>
          <w:tcPr>
            <w:tcW w:w="1456" w:type="dxa"/>
            <w:vMerge/>
          </w:tcPr>
          <w:p w14:paraId="4E5DB876" w14:textId="77777777" w:rsidR="00A241A0" w:rsidRPr="00D03374" w:rsidRDefault="00A241A0" w:rsidP="007A13D5">
            <w:pPr>
              <w:rPr>
                <w:rFonts w:ascii="Calibri" w:hAnsi="Calibri" w:cs="Calibri"/>
                <w:sz w:val="18"/>
                <w:szCs w:val="18"/>
              </w:rPr>
            </w:pPr>
          </w:p>
        </w:tc>
        <w:tc>
          <w:tcPr>
            <w:tcW w:w="1809" w:type="dxa"/>
            <w:vMerge/>
          </w:tcPr>
          <w:p w14:paraId="7C7A60C7" w14:textId="77777777" w:rsidR="00A241A0" w:rsidRPr="00D03374" w:rsidRDefault="00A241A0" w:rsidP="007A13D5">
            <w:pPr>
              <w:rPr>
                <w:rFonts w:ascii="Calibri" w:hAnsi="Calibri" w:cs="Calibri"/>
                <w:sz w:val="18"/>
                <w:szCs w:val="18"/>
              </w:rPr>
            </w:pPr>
          </w:p>
        </w:tc>
        <w:tc>
          <w:tcPr>
            <w:tcW w:w="1795" w:type="dxa"/>
          </w:tcPr>
          <w:p w14:paraId="7DDFB14B" w14:textId="77777777" w:rsidR="00A241A0" w:rsidRPr="00D03374" w:rsidRDefault="00A241A0" w:rsidP="007A13D5">
            <w:pPr>
              <w:rPr>
                <w:rFonts w:ascii="Calibri" w:hAnsi="Calibri" w:cs="Calibri"/>
                <w:sz w:val="18"/>
                <w:szCs w:val="18"/>
              </w:rPr>
            </w:pPr>
            <w:r w:rsidRPr="001362AE">
              <w:rPr>
                <w:rFonts w:ascii="Calibri" w:hAnsi="Calibri" w:cs="Calibri"/>
                <w:noProof/>
                <w:sz w:val="18"/>
                <w:szCs w:val="18"/>
              </w:rPr>
              <w:t>Yes</w:t>
            </w:r>
          </w:p>
        </w:tc>
      </w:tr>
    </w:tbl>
    <w:p w14:paraId="734A1CA4" w14:textId="70B03D95" w:rsidR="00A241A0" w:rsidRPr="002114D5"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tbl>
      <w:tblPr>
        <w:tblStyle w:val="TableGridLight"/>
        <w:tblW w:w="9350" w:type="dxa"/>
        <w:tblLook w:val="04A0" w:firstRow="1" w:lastRow="0" w:firstColumn="1" w:lastColumn="0" w:noHBand="0" w:noVBand="1"/>
      </w:tblPr>
      <w:tblGrid>
        <w:gridCol w:w="979"/>
        <w:gridCol w:w="3311"/>
        <w:gridCol w:w="1456"/>
        <w:gridCol w:w="1809"/>
        <w:gridCol w:w="1795"/>
      </w:tblGrid>
      <w:tr w:rsidR="004C65AA" w:rsidRPr="00D03374" w14:paraId="48B2C997" w14:textId="77777777" w:rsidTr="007A13D5">
        <w:trPr>
          <w:trHeight w:val="425"/>
        </w:trPr>
        <w:tc>
          <w:tcPr>
            <w:tcW w:w="9350" w:type="dxa"/>
            <w:gridSpan w:val="5"/>
            <w:shd w:val="clear" w:color="auto" w:fill="A5C9EB" w:themeFill="text2" w:themeFillTint="40"/>
          </w:tcPr>
          <w:p w14:paraId="29B2BABE" w14:textId="692B36E1" w:rsidR="004C65AA" w:rsidRPr="00340E15" w:rsidRDefault="004C65AA" w:rsidP="007A13D5">
            <w:pPr>
              <w:rPr>
                <w:rFonts w:ascii="Calibri" w:hAnsi="Calibri" w:cs="Calibri"/>
                <w:noProof/>
                <w:sz w:val="28"/>
                <w:szCs w:val="28"/>
              </w:rPr>
            </w:pPr>
            <w:r w:rsidRPr="001362AE">
              <w:rPr>
                <w:rFonts w:ascii="Calibri" w:hAnsi="Calibri" w:cs="Calibri"/>
                <w:noProof/>
                <w:sz w:val="28"/>
                <w:szCs w:val="28"/>
              </w:rPr>
              <w:t xml:space="preserve">Oral Session </w:t>
            </w:r>
            <w:r w:rsidR="00BA647F">
              <w:rPr>
                <w:rFonts w:ascii="Calibri" w:hAnsi="Calibri" w:cs="Calibri"/>
                <w:noProof/>
                <w:sz w:val="28"/>
                <w:szCs w:val="28"/>
              </w:rPr>
              <w:t>1B</w:t>
            </w:r>
            <w:r w:rsidRPr="00340E15">
              <w:rPr>
                <w:rFonts w:ascii="Calibri" w:hAnsi="Calibri" w:cs="Calibri"/>
                <w:noProof/>
                <w:sz w:val="28"/>
                <w:szCs w:val="28"/>
              </w:rPr>
              <w:t>--KOBC 2</w:t>
            </w:r>
            <w:r w:rsidR="00C06593">
              <w:rPr>
                <w:rFonts w:ascii="Calibri" w:hAnsi="Calibri" w:cs="Calibri"/>
                <w:noProof/>
                <w:sz w:val="28"/>
                <w:szCs w:val="28"/>
              </w:rPr>
              <w:t>08</w:t>
            </w:r>
          </w:p>
        </w:tc>
      </w:tr>
      <w:tr w:rsidR="004C65AA" w:rsidRPr="00D03374" w14:paraId="4305D731"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0DEC7309" w14:textId="14D2E0B3" w:rsidR="004C65AA" w:rsidRPr="00340E15" w:rsidRDefault="004C65AA" w:rsidP="007A13D5">
            <w:pPr>
              <w:rPr>
                <w:rFonts w:ascii="Calibri" w:hAnsi="Calibri" w:cs="Calibri"/>
                <w:noProof/>
                <w:sz w:val="22"/>
                <w:szCs w:val="22"/>
              </w:rPr>
            </w:pPr>
            <w:r w:rsidRPr="00340E15">
              <w:rPr>
                <w:rFonts w:ascii="Calibri" w:hAnsi="Calibri" w:cs="Calibri"/>
                <w:noProof/>
                <w:sz w:val="22"/>
                <w:szCs w:val="22"/>
              </w:rPr>
              <w:t xml:space="preserve">Section:  </w:t>
            </w:r>
            <w:bookmarkStart w:id="16" w:name="OralPresentationBotZooEcoEnvSci"/>
            <w:r w:rsidRPr="001362AE">
              <w:rPr>
                <w:rFonts w:ascii="Calibri" w:hAnsi="Calibri" w:cs="Calibri"/>
                <w:noProof/>
                <w:sz w:val="22"/>
                <w:szCs w:val="22"/>
              </w:rPr>
              <w:t>Botany, Zoology,</w:t>
            </w:r>
            <w:r w:rsidR="00C02BCA">
              <w:rPr>
                <w:rFonts w:ascii="Calibri" w:hAnsi="Calibri" w:cs="Calibri"/>
                <w:noProof/>
                <w:sz w:val="22"/>
                <w:szCs w:val="22"/>
              </w:rPr>
              <w:t xml:space="preserve"> </w:t>
            </w:r>
            <w:r w:rsidRPr="001362AE">
              <w:rPr>
                <w:rFonts w:ascii="Calibri" w:hAnsi="Calibri" w:cs="Calibri"/>
                <w:noProof/>
                <w:sz w:val="22"/>
                <w:szCs w:val="22"/>
              </w:rPr>
              <w:t>Ecology, &amp; Environmental Science I</w:t>
            </w:r>
            <w:bookmarkEnd w:id="16"/>
          </w:p>
        </w:tc>
      </w:tr>
      <w:tr w:rsidR="004C65AA" w:rsidRPr="00D03374" w14:paraId="19138F8A" w14:textId="77777777" w:rsidTr="007A13D5">
        <w:trPr>
          <w:trHeight w:hRule="exact" w:val="288"/>
        </w:trPr>
        <w:tc>
          <w:tcPr>
            <w:tcW w:w="979" w:type="dxa"/>
            <w:shd w:val="clear" w:color="auto" w:fill="D9F2D0" w:themeFill="accent6" w:themeFillTint="33"/>
          </w:tcPr>
          <w:p w14:paraId="521D521C" w14:textId="77777777" w:rsidR="004C65AA" w:rsidRDefault="004C65AA" w:rsidP="007A13D5">
            <w:pPr>
              <w:rPr>
                <w:rFonts w:ascii="Calibri" w:hAnsi="Calibri" w:cs="Calibri"/>
                <w:noProof/>
                <w:sz w:val="18"/>
                <w:szCs w:val="18"/>
              </w:rPr>
            </w:pPr>
            <w:r>
              <w:rPr>
                <w:rFonts w:ascii="Calibri" w:hAnsi="Calibri" w:cs="Calibri"/>
                <w:noProof/>
                <w:sz w:val="18"/>
                <w:szCs w:val="18"/>
              </w:rPr>
              <w:t>Abstract #</w:t>
            </w:r>
          </w:p>
          <w:p w14:paraId="49E3D7CF" w14:textId="77777777" w:rsidR="004C65AA" w:rsidRDefault="004C65AA" w:rsidP="007A13D5">
            <w:pPr>
              <w:rPr>
                <w:rFonts w:ascii="Calibri" w:hAnsi="Calibri" w:cs="Calibri"/>
                <w:noProof/>
                <w:sz w:val="18"/>
                <w:szCs w:val="18"/>
              </w:rPr>
            </w:pPr>
          </w:p>
        </w:tc>
        <w:tc>
          <w:tcPr>
            <w:tcW w:w="3311" w:type="dxa"/>
            <w:shd w:val="clear" w:color="auto" w:fill="D9F2D0" w:themeFill="accent6" w:themeFillTint="33"/>
          </w:tcPr>
          <w:p w14:paraId="44DAFFA8" w14:textId="77777777" w:rsidR="004C65AA" w:rsidRPr="00D03374" w:rsidRDefault="004C65AA"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208EB99C" w14:textId="77777777" w:rsidR="004C65AA" w:rsidRDefault="004C65AA"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1E734687" w14:textId="77777777" w:rsidR="004C65AA" w:rsidRDefault="004C65AA"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47656D01" w14:textId="77777777" w:rsidR="004C65AA" w:rsidRDefault="004C65AA" w:rsidP="007A13D5">
            <w:pPr>
              <w:rPr>
                <w:rFonts w:ascii="Calibri" w:hAnsi="Calibri" w:cs="Calibri"/>
                <w:noProof/>
                <w:sz w:val="18"/>
                <w:szCs w:val="18"/>
              </w:rPr>
            </w:pPr>
            <w:r>
              <w:rPr>
                <w:rFonts w:ascii="Calibri" w:hAnsi="Calibri" w:cs="Calibri"/>
                <w:noProof/>
                <w:sz w:val="18"/>
                <w:szCs w:val="18"/>
              </w:rPr>
              <w:t>Time/Room/Derieux?</w:t>
            </w:r>
          </w:p>
        </w:tc>
      </w:tr>
      <w:tr w:rsidR="004C65AA" w:rsidRPr="00D03374" w14:paraId="0DC66A67" w14:textId="77777777" w:rsidTr="007A13D5">
        <w:trPr>
          <w:trHeight w:val="425"/>
        </w:trPr>
        <w:tc>
          <w:tcPr>
            <w:tcW w:w="979" w:type="dxa"/>
            <w:vMerge w:val="restart"/>
          </w:tcPr>
          <w:p w14:paraId="1E76623F" w14:textId="77777777" w:rsidR="004C65AA" w:rsidRPr="00D03374" w:rsidRDefault="004C65AA"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6</w:t>
            </w:r>
          </w:p>
        </w:tc>
        <w:tc>
          <w:tcPr>
            <w:tcW w:w="3311" w:type="dxa"/>
            <w:vMerge w:val="restart"/>
          </w:tcPr>
          <w:p w14:paraId="3EA3DECF"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Evaluating non-synthetic soil amendments to improve soil chemical properties in managed turfgrass</w:t>
            </w:r>
          </w:p>
        </w:tc>
        <w:tc>
          <w:tcPr>
            <w:tcW w:w="1456" w:type="dxa"/>
            <w:vMerge w:val="restart"/>
          </w:tcPr>
          <w:p w14:paraId="2FA76F76"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Diamond, Zachary*, Kelsey Bitting</w:t>
            </w:r>
          </w:p>
        </w:tc>
        <w:tc>
          <w:tcPr>
            <w:tcW w:w="1809" w:type="dxa"/>
            <w:vMerge w:val="restart"/>
          </w:tcPr>
          <w:p w14:paraId="456BC78D"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52D34337"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8:30-8:45 AM</w:t>
            </w:r>
          </w:p>
        </w:tc>
      </w:tr>
      <w:tr w:rsidR="004C65AA" w:rsidRPr="00D03374" w14:paraId="4B9031A4" w14:textId="77777777" w:rsidTr="007A13D5">
        <w:trPr>
          <w:trHeight w:val="424"/>
        </w:trPr>
        <w:tc>
          <w:tcPr>
            <w:tcW w:w="979" w:type="dxa"/>
            <w:vMerge/>
          </w:tcPr>
          <w:p w14:paraId="0FECA798" w14:textId="77777777" w:rsidR="004C65AA" w:rsidRPr="00D03374" w:rsidRDefault="004C65AA" w:rsidP="007A13D5">
            <w:pPr>
              <w:rPr>
                <w:rFonts w:ascii="Calibri" w:hAnsi="Calibri" w:cs="Calibri"/>
                <w:sz w:val="18"/>
                <w:szCs w:val="18"/>
              </w:rPr>
            </w:pPr>
          </w:p>
        </w:tc>
        <w:tc>
          <w:tcPr>
            <w:tcW w:w="3311" w:type="dxa"/>
            <w:vMerge/>
          </w:tcPr>
          <w:p w14:paraId="04E63236" w14:textId="77777777" w:rsidR="004C65AA" w:rsidRPr="00D03374" w:rsidRDefault="004C65AA" w:rsidP="007A13D5">
            <w:pPr>
              <w:rPr>
                <w:rFonts w:ascii="Calibri" w:hAnsi="Calibri" w:cs="Calibri"/>
                <w:sz w:val="18"/>
                <w:szCs w:val="18"/>
              </w:rPr>
            </w:pPr>
          </w:p>
        </w:tc>
        <w:tc>
          <w:tcPr>
            <w:tcW w:w="1456" w:type="dxa"/>
            <w:vMerge/>
          </w:tcPr>
          <w:p w14:paraId="0E20F9BE" w14:textId="77777777" w:rsidR="004C65AA" w:rsidRPr="00D03374" w:rsidRDefault="004C65AA" w:rsidP="007A13D5">
            <w:pPr>
              <w:rPr>
                <w:rFonts w:ascii="Calibri" w:hAnsi="Calibri" w:cs="Calibri"/>
                <w:sz w:val="18"/>
                <w:szCs w:val="18"/>
              </w:rPr>
            </w:pPr>
          </w:p>
        </w:tc>
        <w:tc>
          <w:tcPr>
            <w:tcW w:w="1809" w:type="dxa"/>
            <w:vMerge/>
          </w:tcPr>
          <w:p w14:paraId="2219A360" w14:textId="77777777" w:rsidR="004C65AA" w:rsidRPr="00D03374" w:rsidRDefault="004C65AA" w:rsidP="007A13D5">
            <w:pPr>
              <w:rPr>
                <w:rFonts w:ascii="Calibri" w:hAnsi="Calibri" w:cs="Calibri"/>
                <w:sz w:val="18"/>
                <w:szCs w:val="18"/>
              </w:rPr>
            </w:pPr>
          </w:p>
        </w:tc>
        <w:tc>
          <w:tcPr>
            <w:tcW w:w="1795" w:type="dxa"/>
          </w:tcPr>
          <w:p w14:paraId="4C9D59F0"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KOBC 208</w:t>
            </w:r>
          </w:p>
        </w:tc>
      </w:tr>
      <w:tr w:rsidR="004C65AA" w:rsidRPr="00D03374" w14:paraId="06FFC6E0" w14:textId="77777777" w:rsidTr="007A13D5">
        <w:trPr>
          <w:trHeight w:val="424"/>
        </w:trPr>
        <w:tc>
          <w:tcPr>
            <w:tcW w:w="979" w:type="dxa"/>
            <w:vMerge/>
          </w:tcPr>
          <w:p w14:paraId="75CD382B" w14:textId="77777777" w:rsidR="004C65AA" w:rsidRPr="00D03374" w:rsidRDefault="004C65AA" w:rsidP="007A13D5">
            <w:pPr>
              <w:rPr>
                <w:rFonts w:ascii="Calibri" w:hAnsi="Calibri" w:cs="Calibri"/>
                <w:sz w:val="18"/>
                <w:szCs w:val="18"/>
              </w:rPr>
            </w:pPr>
          </w:p>
        </w:tc>
        <w:tc>
          <w:tcPr>
            <w:tcW w:w="3311" w:type="dxa"/>
            <w:vMerge/>
          </w:tcPr>
          <w:p w14:paraId="5CF0B06C" w14:textId="77777777" w:rsidR="004C65AA" w:rsidRPr="00D03374" w:rsidRDefault="004C65AA" w:rsidP="007A13D5">
            <w:pPr>
              <w:rPr>
                <w:rFonts w:ascii="Calibri" w:hAnsi="Calibri" w:cs="Calibri"/>
                <w:sz w:val="18"/>
                <w:szCs w:val="18"/>
              </w:rPr>
            </w:pPr>
          </w:p>
        </w:tc>
        <w:tc>
          <w:tcPr>
            <w:tcW w:w="1456" w:type="dxa"/>
            <w:vMerge/>
          </w:tcPr>
          <w:p w14:paraId="18AD012B" w14:textId="77777777" w:rsidR="004C65AA" w:rsidRPr="00D03374" w:rsidRDefault="004C65AA" w:rsidP="007A13D5">
            <w:pPr>
              <w:rPr>
                <w:rFonts w:ascii="Calibri" w:hAnsi="Calibri" w:cs="Calibri"/>
                <w:sz w:val="18"/>
                <w:szCs w:val="18"/>
              </w:rPr>
            </w:pPr>
          </w:p>
        </w:tc>
        <w:tc>
          <w:tcPr>
            <w:tcW w:w="1809" w:type="dxa"/>
            <w:vMerge/>
          </w:tcPr>
          <w:p w14:paraId="4012919B" w14:textId="77777777" w:rsidR="004C65AA" w:rsidRPr="00D03374" w:rsidRDefault="004C65AA" w:rsidP="007A13D5">
            <w:pPr>
              <w:rPr>
                <w:rFonts w:ascii="Calibri" w:hAnsi="Calibri" w:cs="Calibri"/>
                <w:sz w:val="18"/>
                <w:szCs w:val="18"/>
              </w:rPr>
            </w:pPr>
          </w:p>
        </w:tc>
        <w:tc>
          <w:tcPr>
            <w:tcW w:w="1795" w:type="dxa"/>
          </w:tcPr>
          <w:p w14:paraId="2368CFFC"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No</w:t>
            </w:r>
          </w:p>
        </w:tc>
      </w:tr>
      <w:tr w:rsidR="004C65AA" w:rsidRPr="00D03374" w14:paraId="4C427E4C" w14:textId="77777777" w:rsidTr="007A13D5">
        <w:trPr>
          <w:trHeight w:val="425"/>
        </w:trPr>
        <w:tc>
          <w:tcPr>
            <w:tcW w:w="979" w:type="dxa"/>
            <w:vMerge w:val="restart"/>
          </w:tcPr>
          <w:p w14:paraId="1D7D2810" w14:textId="77777777" w:rsidR="004C65AA" w:rsidRPr="00D03374" w:rsidRDefault="004C65AA"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7</w:t>
            </w:r>
          </w:p>
        </w:tc>
        <w:tc>
          <w:tcPr>
            <w:tcW w:w="3311" w:type="dxa"/>
            <w:vMerge w:val="restart"/>
          </w:tcPr>
          <w:p w14:paraId="6576B97D"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Conservation biology research literacy: a framework for bridging the gap between scientists and the public</w:t>
            </w:r>
          </w:p>
        </w:tc>
        <w:tc>
          <w:tcPr>
            <w:tcW w:w="1456" w:type="dxa"/>
            <w:vMerge w:val="restart"/>
          </w:tcPr>
          <w:p w14:paraId="16B6DBC9"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Millner, Nivea</w:t>
            </w:r>
          </w:p>
        </w:tc>
        <w:tc>
          <w:tcPr>
            <w:tcW w:w="1809" w:type="dxa"/>
            <w:vMerge w:val="restart"/>
          </w:tcPr>
          <w:p w14:paraId="001A6CAA"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10C7638B"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8:45-9:00 AM</w:t>
            </w:r>
          </w:p>
        </w:tc>
      </w:tr>
      <w:tr w:rsidR="004C65AA" w:rsidRPr="00D03374" w14:paraId="715ED052" w14:textId="77777777" w:rsidTr="007A13D5">
        <w:trPr>
          <w:trHeight w:val="424"/>
        </w:trPr>
        <w:tc>
          <w:tcPr>
            <w:tcW w:w="979" w:type="dxa"/>
            <w:vMerge/>
          </w:tcPr>
          <w:p w14:paraId="2DF417A9" w14:textId="77777777" w:rsidR="004C65AA" w:rsidRPr="00D03374" w:rsidRDefault="004C65AA" w:rsidP="007A13D5">
            <w:pPr>
              <w:rPr>
                <w:rFonts w:ascii="Calibri" w:hAnsi="Calibri" w:cs="Calibri"/>
                <w:sz w:val="18"/>
                <w:szCs w:val="18"/>
              </w:rPr>
            </w:pPr>
          </w:p>
        </w:tc>
        <w:tc>
          <w:tcPr>
            <w:tcW w:w="3311" w:type="dxa"/>
            <w:vMerge/>
          </w:tcPr>
          <w:p w14:paraId="083C8996" w14:textId="77777777" w:rsidR="004C65AA" w:rsidRPr="00D03374" w:rsidRDefault="004C65AA" w:rsidP="007A13D5">
            <w:pPr>
              <w:rPr>
                <w:rFonts w:ascii="Calibri" w:hAnsi="Calibri" w:cs="Calibri"/>
                <w:sz w:val="18"/>
                <w:szCs w:val="18"/>
              </w:rPr>
            </w:pPr>
          </w:p>
        </w:tc>
        <w:tc>
          <w:tcPr>
            <w:tcW w:w="1456" w:type="dxa"/>
            <w:vMerge/>
          </w:tcPr>
          <w:p w14:paraId="1576F525" w14:textId="77777777" w:rsidR="004C65AA" w:rsidRPr="00D03374" w:rsidRDefault="004C65AA" w:rsidP="007A13D5">
            <w:pPr>
              <w:rPr>
                <w:rFonts w:ascii="Calibri" w:hAnsi="Calibri" w:cs="Calibri"/>
                <w:sz w:val="18"/>
                <w:szCs w:val="18"/>
              </w:rPr>
            </w:pPr>
          </w:p>
        </w:tc>
        <w:tc>
          <w:tcPr>
            <w:tcW w:w="1809" w:type="dxa"/>
            <w:vMerge/>
          </w:tcPr>
          <w:p w14:paraId="0FA74205" w14:textId="77777777" w:rsidR="004C65AA" w:rsidRPr="00D03374" w:rsidRDefault="004C65AA" w:rsidP="007A13D5">
            <w:pPr>
              <w:rPr>
                <w:rFonts w:ascii="Calibri" w:hAnsi="Calibri" w:cs="Calibri"/>
                <w:sz w:val="18"/>
                <w:szCs w:val="18"/>
              </w:rPr>
            </w:pPr>
          </w:p>
        </w:tc>
        <w:tc>
          <w:tcPr>
            <w:tcW w:w="1795" w:type="dxa"/>
          </w:tcPr>
          <w:p w14:paraId="1E9C686D"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KOBC 208</w:t>
            </w:r>
          </w:p>
        </w:tc>
      </w:tr>
      <w:tr w:rsidR="004C65AA" w:rsidRPr="00D03374" w14:paraId="3C04618F" w14:textId="77777777" w:rsidTr="007A13D5">
        <w:trPr>
          <w:trHeight w:val="424"/>
        </w:trPr>
        <w:tc>
          <w:tcPr>
            <w:tcW w:w="979" w:type="dxa"/>
            <w:vMerge/>
          </w:tcPr>
          <w:p w14:paraId="5D6AD8DE" w14:textId="77777777" w:rsidR="004C65AA" w:rsidRPr="00D03374" w:rsidRDefault="004C65AA" w:rsidP="007A13D5">
            <w:pPr>
              <w:rPr>
                <w:rFonts w:ascii="Calibri" w:hAnsi="Calibri" w:cs="Calibri"/>
                <w:sz w:val="18"/>
                <w:szCs w:val="18"/>
              </w:rPr>
            </w:pPr>
          </w:p>
        </w:tc>
        <w:tc>
          <w:tcPr>
            <w:tcW w:w="3311" w:type="dxa"/>
            <w:vMerge/>
          </w:tcPr>
          <w:p w14:paraId="670E98E2" w14:textId="77777777" w:rsidR="004C65AA" w:rsidRPr="00D03374" w:rsidRDefault="004C65AA" w:rsidP="007A13D5">
            <w:pPr>
              <w:rPr>
                <w:rFonts w:ascii="Calibri" w:hAnsi="Calibri" w:cs="Calibri"/>
                <w:sz w:val="18"/>
                <w:szCs w:val="18"/>
              </w:rPr>
            </w:pPr>
          </w:p>
        </w:tc>
        <w:tc>
          <w:tcPr>
            <w:tcW w:w="1456" w:type="dxa"/>
            <w:vMerge/>
          </w:tcPr>
          <w:p w14:paraId="360C06F2" w14:textId="77777777" w:rsidR="004C65AA" w:rsidRPr="00D03374" w:rsidRDefault="004C65AA" w:rsidP="007A13D5">
            <w:pPr>
              <w:rPr>
                <w:rFonts w:ascii="Calibri" w:hAnsi="Calibri" w:cs="Calibri"/>
                <w:sz w:val="18"/>
                <w:szCs w:val="18"/>
              </w:rPr>
            </w:pPr>
          </w:p>
        </w:tc>
        <w:tc>
          <w:tcPr>
            <w:tcW w:w="1809" w:type="dxa"/>
            <w:vMerge/>
          </w:tcPr>
          <w:p w14:paraId="06733A86" w14:textId="77777777" w:rsidR="004C65AA" w:rsidRPr="00D03374" w:rsidRDefault="004C65AA" w:rsidP="007A13D5">
            <w:pPr>
              <w:rPr>
                <w:rFonts w:ascii="Calibri" w:hAnsi="Calibri" w:cs="Calibri"/>
                <w:sz w:val="18"/>
                <w:szCs w:val="18"/>
              </w:rPr>
            </w:pPr>
          </w:p>
        </w:tc>
        <w:tc>
          <w:tcPr>
            <w:tcW w:w="1795" w:type="dxa"/>
          </w:tcPr>
          <w:p w14:paraId="0D98DA89"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No</w:t>
            </w:r>
          </w:p>
        </w:tc>
      </w:tr>
      <w:tr w:rsidR="004C65AA" w:rsidRPr="00D03374" w14:paraId="161DAB2D" w14:textId="77777777" w:rsidTr="007A13D5">
        <w:trPr>
          <w:trHeight w:val="425"/>
        </w:trPr>
        <w:tc>
          <w:tcPr>
            <w:tcW w:w="979" w:type="dxa"/>
            <w:vMerge w:val="restart"/>
          </w:tcPr>
          <w:p w14:paraId="0F1F6FBD" w14:textId="77777777" w:rsidR="004C65AA" w:rsidRPr="00D03374" w:rsidRDefault="004C65AA" w:rsidP="007A13D5">
            <w:pPr>
              <w:rPr>
                <w:rFonts w:ascii="Calibri" w:hAnsi="Calibri" w:cs="Calibri"/>
                <w:noProof/>
                <w:sz w:val="18"/>
                <w:szCs w:val="18"/>
              </w:rPr>
            </w:pPr>
            <w:r>
              <w:rPr>
                <w:rFonts w:ascii="Calibri" w:hAnsi="Calibri" w:cs="Calibri"/>
                <w:noProof/>
                <w:sz w:val="18"/>
                <w:szCs w:val="18"/>
              </w:rPr>
              <w:t>Oral-8</w:t>
            </w:r>
          </w:p>
        </w:tc>
        <w:tc>
          <w:tcPr>
            <w:tcW w:w="3311" w:type="dxa"/>
            <w:vMerge w:val="restart"/>
          </w:tcPr>
          <w:p w14:paraId="440E4F65"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Quantifying PCB Contamination in Soil via Soxhlet Extraction and GC-ECD Detection Limit Optimization.</w:t>
            </w:r>
          </w:p>
        </w:tc>
        <w:tc>
          <w:tcPr>
            <w:tcW w:w="1456" w:type="dxa"/>
            <w:vMerge w:val="restart"/>
          </w:tcPr>
          <w:p w14:paraId="7408B632"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Lail, Connor*</w:t>
            </w:r>
          </w:p>
        </w:tc>
        <w:tc>
          <w:tcPr>
            <w:tcW w:w="1809" w:type="dxa"/>
            <w:vMerge w:val="restart"/>
          </w:tcPr>
          <w:p w14:paraId="0D429A92"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4F309700"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9:00-9:15 AM</w:t>
            </w:r>
          </w:p>
        </w:tc>
      </w:tr>
      <w:tr w:rsidR="004C65AA" w:rsidRPr="00D03374" w14:paraId="39EC4D22" w14:textId="77777777" w:rsidTr="007A13D5">
        <w:trPr>
          <w:trHeight w:val="424"/>
        </w:trPr>
        <w:tc>
          <w:tcPr>
            <w:tcW w:w="979" w:type="dxa"/>
            <w:vMerge/>
          </w:tcPr>
          <w:p w14:paraId="0B3C9E77" w14:textId="77777777" w:rsidR="004C65AA" w:rsidRPr="00D03374" w:rsidRDefault="004C65AA" w:rsidP="007A13D5">
            <w:pPr>
              <w:rPr>
                <w:rFonts w:ascii="Calibri" w:hAnsi="Calibri" w:cs="Calibri"/>
                <w:sz w:val="18"/>
                <w:szCs w:val="18"/>
              </w:rPr>
            </w:pPr>
          </w:p>
        </w:tc>
        <w:tc>
          <w:tcPr>
            <w:tcW w:w="3311" w:type="dxa"/>
            <w:vMerge/>
          </w:tcPr>
          <w:p w14:paraId="2F97E8CA" w14:textId="77777777" w:rsidR="004C65AA" w:rsidRPr="00D03374" w:rsidRDefault="004C65AA" w:rsidP="007A13D5">
            <w:pPr>
              <w:rPr>
                <w:rFonts w:ascii="Calibri" w:hAnsi="Calibri" w:cs="Calibri"/>
                <w:sz w:val="18"/>
                <w:szCs w:val="18"/>
              </w:rPr>
            </w:pPr>
          </w:p>
        </w:tc>
        <w:tc>
          <w:tcPr>
            <w:tcW w:w="1456" w:type="dxa"/>
            <w:vMerge/>
          </w:tcPr>
          <w:p w14:paraId="71CA51A4" w14:textId="77777777" w:rsidR="004C65AA" w:rsidRPr="00D03374" w:rsidRDefault="004C65AA" w:rsidP="007A13D5">
            <w:pPr>
              <w:rPr>
                <w:rFonts w:ascii="Calibri" w:hAnsi="Calibri" w:cs="Calibri"/>
                <w:sz w:val="18"/>
                <w:szCs w:val="18"/>
              </w:rPr>
            </w:pPr>
          </w:p>
        </w:tc>
        <w:tc>
          <w:tcPr>
            <w:tcW w:w="1809" w:type="dxa"/>
            <w:vMerge/>
          </w:tcPr>
          <w:p w14:paraId="79AAEC9F" w14:textId="77777777" w:rsidR="004C65AA" w:rsidRPr="00D03374" w:rsidRDefault="004C65AA" w:rsidP="007A13D5">
            <w:pPr>
              <w:rPr>
                <w:rFonts w:ascii="Calibri" w:hAnsi="Calibri" w:cs="Calibri"/>
                <w:sz w:val="18"/>
                <w:szCs w:val="18"/>
              </w:rPr>
            </w:pPr>
          </w:p>
        </w:tc>
        <w:tc>
          <w:tcPr>
            <w:tcW w:w="1795" w:type="dxa"/>
          </w:tcPr>
          <w:p w14:paraId="2D448D45"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KOBC 208</w:t>
            </w:r>
          </w:p>
        </w:tc>
      </w:tr>
      <w:tr w:rsidR="004C65AA" w:rsidRPr="00D03374" w14:paraId="305DA497" w14:textId="77777777" w:rsidTr="007A13D5">
        <w:trPr>
          <w:trHeight w:val="424"/>
        </w:trPr>
        <w:tc>
          <w:tcPr>
            <w:tcW w:w="979" w:type="dxa"/>
            <w:vMerge/>
          </w:tcPr>
          <w:p w14:paraId="3957EC9D" w14:textId="77777777" w:rsidR="004C65AA" w:rsidRPr="00D03374" w:rsidRDefault="004C65AA" w:rsidP="007A13D5">
            <w:pPr>
              <w:rPr>
                <w:rFonts w:ascii="Calibri" w:hAnsi="Calibri" w:cs="Calibri"/>
                <w:sz w:val="18"/>
                <w:szCs w:val="18"/>
              </w:rPr>
            </w:pPr>
          </w:p>
        </w:tc>
        <w:tc>
          <w:tcPr>
            <w:tcW w:w="3311" w:type="dxa"/>
            <w:vMerge/>
          </w:tcPr>
          <w:p w14:paraId="7D1D2603" w14:textId="77777777" w:rsidR="004C65AA" w:rsidRPr="00D03374" w:rsidRDefault="004C65AA" w:rsidP="007A13D5">
            <w:pPr>
              <w:rPr>
                <w:rFonts w:ascii="Calibri" w:hAnsi="Calibri" w:cs="Calibri"/>
                <w:sz w:val="18"/>
                <w:szCs w:val="18"/>
              </w:rPr>
            </w:pPr>
          </w:p>
        </w:tc>
        <w:tc>
          <w:tcPr>
            <w:tcW w:w="1456" w:type="dxa"/>
            <w:vMerge/>
          </w:tcPr>
          <w:p w14:paraId="62483F44" w14:textId="77777777" w:rsidR="004C65AA" w:rsidRPr="00D03374" w:rsidRDefault="004C65AA" w:rsidP="007A13D5">
            <w:pPr>
              <w:rPr>
                <w:rFonts w:ascii="Calibri" w:hAnsi="Calibri" w:cs="Calibri"/>
                <w:sz w:val="18"/>
                <w:szCs w:val="18"/>
              </w:rPr>
            </w:pPr>
          </w:p>
        </w:tc>
        <w:tc>
          <w:tcPr>
            <w:tcW w:w="1809" w:type="dxa"/>
            <w:vMerge/>
          </w:tcPr>
          <w:p w14:paraId="08B00F6A" w14:textId="77777777" w:rsidR="004C65AA" w:rsidRPr="00D03374" w:rsidRDefault="004C65AA" w:rsidP="007A13D5">
            <w:pPr>
              <w:rPr>
                <w:rFonts w:ascii="Calibri" w:hAnsi="Calibri" w:cs="Calibri"/>
                <w:sz w:val="18"/>
                <w:szCs w:val="18"/>
              </w:rPr>
            </w:pPr>
          </w:p>
        </w:tc>
        <w:tc>
          <w:tcPr>
            <w:tcW w:w="1795" w:type="dxa"/>
          </w:tcPr>
          <w:p w14:paraId="654C04B6"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Yes</w:t>
            </w:r>
          </w:p>
        </w:tc>
      </w:tr>
      <w:tr w:rsidR="004C65AA" w:rsidRPr="00D03374" w14:paraId="43752D76" w14:textId="77777777" w:rsidTr="007A13D5">
        <w:trPr>
          <w:trHeight w:val="425"/>
        </w:trPr>
        <w:tc>
          <w:tcPr>
            <w:tcW w:w="979" w:type="dxa"/>
            <w:vMerge w:val="restart"/>
          </w:tcPr>
          <w:p w14:paraId="138012F8" w14:textId="77777777" w:rsidR="004C65AA" w:rsidRPr="00D03374" w:rsidRDefault="004C65AA" w:rsidP="007A13D5">
            <w:pPr>
              <w:rPr>
                <w:rFonts w:ascii="Calibri" w:hAnsi="Calibri" w:cs="Calibri"/>
                <w:noProof/>
                <w:sz w:val="18"/>
                <w:szCs w:val="18"/>
              </w:rPr>
            </w:pPr>
            <w:r>
              <w:rPr>
                <w:rFonts w:ascii="Calibri" w:hAnsi="Calibri" w:cs="Calibri"/>
                <w:noProof/>
                <w:sz w:val="18"/>
                <w:szCs w:val="18"/>
              </w:rPr>
              <w:t>Oral-9</w:t>
            </w:r>
          </w:p>
        </w:tc>
        <w:tc>
          <w:tcPr>
            <w:tcW w:w="3311" w:type="dxa"/>
            <w:vMerge w:val="restart"/>
          </w:tcPr>
          <w:p w14:paraId="33646CF7"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Unraveling the Microbial Potential of Regenerative Agriculture: A Comparative Study Between Farming Techniques</w:t>
            </w:r>
          </w:p>
        </w:tc>
        <w:tc>
          <w:tcPr>
            <w:tcW w:w="1456" w:type="dxa"/>
            <w:vMerge w:val="restart"/>
          </w:tcPr>
          <w:p w14:paraId="2EB51467"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Bohlen, Samuel*, Gabriel Wallmann, Hunter Pope, Dr. Michelle Suhan Thomas</w:t>
            </w:r>
          </w:p>
        </w:tc>
        <w:tc>
          <w:tcPr>
            <w:tcW w:w="1809" w:type="dxa"/>
            <w:vMerge w:val="restart"/>
          </w:tcPr>
          <w:p w14:paraId="73DC70A2"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Campbell University</w:t>
            </w:r>
          </w:p>
        </w:tc>
        <w:tc>
          <w:tcPr>
            <w:tcW w:w="1795" w:type="dxa"/>
          </w:tcPr>
          <w:p w14:paraId="6AD9E00C"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9:15-9:30 AM</w:t>
            </w:r>
          </w:p>
        </w:tc>
      </w:tr>
      <w:tr w:rsidR="004C65AA" w:rsidRPr="00D03374" w14:paraId="09DFB55A" w14:textId="77777777" w:rsidTr="007A13D5">
        <w:trPr>
          <w:trHeight w:val="424"/>
        </w:trPr>
        <w:tc>
          <w:tcPr>
            <w:tcW w:w="979" w:type="dxa"/>
            <w:vMerge/>
          </w:tcPr>
          <w:p w14:paraId="015DE083" w14:textId="77777777" w:rsidR="004C65AA" w:rsidRPr="00D03374" w:rsidRDefault="004C65AA" w:rsidP="007A13D5">
            <w:pPr>
              <w:rPr>
                <w:rFonts w:ascii="Calibri" w:hAnsi="Calibri" w:cs="Calibri"/>
                <w:sz w:val="18"/>
                <w:szCs w:val="18"/>
              </w:rPr>
            </w:pPr>
          </w:p>
        </w:tc>
        <w:tc>
          <w:tcPr>
            <w:tcW w:w="3311" w:type="dxa"/>
            <w:vMerge/>
          </w:tcPr>
          <w:p w14:paraId="097AB080" w14:textId="77777777" w:rsidR="004C65AA" w:rsidRPr="00D03374" w:rsidRDefault="004C65AA" w:rsidP="007A13D5">
            <w:pPr>
              <w:rPr>
                <w:rFonts w:ascii="Calibri" w:hAnsi="Calibri" w:cs="Calibri"/>
                <w:sz w:val="18"/>
                <w:szCs w:val="18"/>
              </w:rPr>
            </w:pPr>
          </w:p>
        </w:tc>
        <w:tc>
          <w:tcPr>
            <w:tcW w:w="1456" w:type="dxa"/>
            <w:vMerge/>
          </w:tcPr>
          <w:p w14:paraId="42D1C6BD" w14:textId="77777777" w:rsidR="004C65AA" w:rsidRPr="00D03374" w:rsidRDefault="004C65AA" w:rsidP="007A13D5">
            <w:pPr>
              <w:rPr>
                <w:rFonts w:ascii="Calibri" w:hAnsi="Calibri" w:cs="Calibri"/>
                <w:sz w:val="18"/>
                <w:szCs w:val="18"/>
              </w:rPr>
            </w:pPr>
          </w:p>
        </w:tc>
        <w:tc>
          <w:tcPr>
            <w:tcW w:w="1809" w:type="dxa"/>
            <w:vMerge/>
          </w:tcPr>
          <w:p w14:paraId="04C21465" w14:textId="77777777" w:rsidR="004C65AA" w:rsidRPr="00D03374" w:rsidRDefault="004C65AA" w:rsidP="007A13D5">
            <w:pPr>
              <w:rPr>
                <w:rFonts w:ascii="Calibri" w:hAnsi="Calibri" w:cs="Calibri"/>
                <w:sz w:val="18"/>
                <w:szCs w:val="18"/>
              </w:rPr>
            </w:pPr>
          </w:p>
        </w:tc>
        <w:tc>
          <w:tcPr>
            <w:tcW w:w="1795" w:type="dxa"/>
          </w:tcPr>
          <w:p w14:paraId="24952CAD"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KOBC 208</w:t>
            </w:r>
          </w:p>
        </w:tc>
      </w:tr>
      <w:tr w:rsidR="004C65AA" w:rsidRPr="00D03374" w14:paraId="41DE6FF1" w14:textId="77777777" w:rsidTr="007A13D5">
        <w:trPr>
          <w:trHeight w:val="424"/>
        </w:trPr>
        <w:tc>
          <w:tcPr>
            <w:tcW w:w="979" w:type="dxa"/>
            <w:vMerge/>
          </w:tcPr>
          <w:p w14:paraId="663D02A1" w14:textId="77777777" w:rsidR="004C65AA" w:rsidRPr="00D03374" w:rsidRDefault="004C65AA" w:rsidP="007A13D5">
            <w:pPr>
              <w:rPr>
                <w:rFonts w:ascii="Calibri" w:hAnsi="Calibri" w:cs="Calibri"/>
                <w:sz w:val="18"/>
                <w:szCs w:val="18"/>
              </w:rPr>
            </w:pPr>
          </w:p>
        </w:tc>
        <w:tc>
          <w:tcPr>
            <w:tcW w:w="3311" w:type="dxa"/>
            <w:vMerge/>
          </w:tcPr>
          <w:p w14:paraId="4D9AB886" w14:textId="77777777" w:rsidR="004C65AA" w:rsidRPr="00D03374" w:rsidRDefault="004C65AA" w:rsidP="007A13D5">
            <w:pPr>
              <w:rPr>
                <w:rFonts w:ascii="Calibri" w:hAnsi="Calibri" w:cs="Calibri"/>
                <w:sz w:val="18"/>
                <w:szCs w:val="18"/>
              </w:rPr>
            </w:pPr>
          </w:p>
        </w:tc>
        <w:tc>
          <w:tcPr>
            <w:tcW w:w="1456" w:type="dxa"/>
            <w:vMerge/>
          </w:tcPr>
          <w:p w14:paraId="43A5C4F2" w14:textId="77777777" w:rsidR="004C65AA" w:rsidRPr="00D03374" w:rsidRDefault="004C65AA" w:rsidP="007A13D5">
            <w:pPr>
              <w:rPr>
                <w:rFonts w:ascii="Calibri" w:hAnsi="Calibri" w:cs="Calibri"/>
                <w:sz w:val="18"/>
                <w:szCs w:val="18"/>
              </w:rPr>
            </w:pPr>
          </w:p>
        </w:tc>
        <w:tc>
          <w:tcPr>
            <w:tcW w:w="1809" w:type="dxa"/>
            <w:vMerge/>
          </w:tcPr>
          <w:p w14:paraId="498150B4" w14:textId="77777777" w:rsidR="004C65AA" w:rsidRPr="00D03374" w:rsidRDefault="004C65AA" w:rsidP="007A13D5">
            <w:pPr>
              <w:rPr>
                <w:rFonts w:ascii="Calibri" w:hAnsi="Calibri" w:cs="Calibri"/>
                <w:sz w:val="18"/>
                <w:szCs w:val="18"/>
              </w:rPr>
            </w:pPr>
          </w:p>
        </w:tc>
        <w:tc>
          <w:tcPr>
            <w:tcW w:w="1795" w:type="dxa"/>
          </w:tcPr>
          <w:p w14:paraId="0101EC9A"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Yes</w:t>
            </w:r>
          </w:p>
        </w:tc>
      </w:tr>
      <w:tr w:rsidR="004C65AA" w:rsidRPr="00D03374" w14:paraId="1FC5A272" w14:textId="77777777" w:rsidTr="007A13D5">
        <w:trPr>
          <w:trHeight w:val="425"/>
        </w:trPr>
        <w:tc>
          <w:tcPr>
            <w:tcW w:w="979" w:type="dxa"/>
            <w:vMerge w:val="restart"/>
          </w:tcPr>
          <w:p w14:paraId="0D793989" w14:textId="77777777" w:rsidR="004C65AA" w:rsidRPr="00D03374" w:rsidRDefault="004C65AA" w:rsidP="007A13D5">
            <w:pPr>
              <w:rPr>
                <w:rFonts w:ascii="Calibri" w:hAnsi="Calibri" w:cs="Calibri"/>
                <w:noProof/>
                <w:sz w:val="18"/>
                <w:szCs w:val="18"/>
              </w:rPr>
            </w:pPr>
            <w:r>
              <w:rPr>
                <w:rFonts w:ascii="Calibri" w:hAnsi="Calibri" w:cs="Calibri"/>
                <w:noProof/>
                <w:sz w:val="18"/>
                <w:szCs w:val="18"/>
              </w:rPr>
              <w:lastRenderedPageBreak/>
              <w:t>Oral-</w:t>
            </w:r>
            <w:r w:rsidRPr="001362AE">
              <w:rPr>
                <w:rFonts w:ascii="Calibri" w:hAnsi="Calibri" w:cs="Calibri"/>
                <w:noProof/>
                <w:sz w:val="18"/>
                <w:szCs w:val="18"/>
              </w:rPr>
              <w:t>1</w:t>
            </w:r>
            <w:r>
              <w:rPr>
                <w:rFonts w:ascii="Calibri" w:hAnsi="Calibri" w:cs="Calibri"/>
                <w:noProof/>
                <w:sz w:val="18"/>
                <w:szCs w:val="18"/>
              </w:rPr>
              <w:t>0</w:t>
            </w:r>
          </w:p>
        </w:tc>
        <w:tc>
          <w:tcPr>
            <w:tcW w:w="3311" w:type="dxa"/>
            <w:vMerge w:val="restart"/>
          </w:tcPr>
          <w:p w14:paraId="7EA0F88F"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The Effects of Rhizophagus irregularis co-culture with Cotton (Gossypium hirsutum) on resistance to cadmium chloride in soil</w:t>
            </w:r>
          </w:p>
        </w:tc>
        <w:tc>
          <w:tcPr>
            <w:tcW w:w="1456" w:type="dxa"/>
            <w:vMerge w:val="restart"/>
          </w:tcPr>
          <w:p w14:paraId="006C8435"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Short, Homer Drexel*, Michael R. Stiff.</w:t>
            </w:r>
          </w:p>
        </w:tc>
        <w:tc>
          <w:tcPr>
            <w:tcW w:w="1809" w:type="dxa"/>
            <w:vMerge w:val="restart"/>
          </w:tcPr>
          <w:p w14:paraId="5E189B47"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7109CB35"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9:30-9:45 AM</w:t>
            </w:r>
          </w:p>
        </w:tc>
      </w:tr>
      <w:tr w:rsidR="004C65AA" w:rsidRPr="00D03374" w14:paraId="6CB99731" w14:textId="77777777" w:rsidTr="007A13D5">
        <w:trPr>
          <w:trHeight w:val="424"/>
        </w:trPr>
        <w:tc>
          <w:tcPr>
            <w:tcW w:w="979" w:type="dxa"/>
            <w:vMerge/>
          </w:tcPr>
          <w:p w14:paraId="7BF5C25B" w14:textId="77777777" w:rsidR="004C65AA" w:rsidRPr="00D03374" w:rsidRDefault="004C65AA" w:rsidP="007A13D5">
            <w:pPr>
              <w:rPr>
                <w:rFonts w:ascii="Calibri" w:hAnsi="Calibri" w:cs="Calibri"/>
                <w:sz w:val="18"/>
                <w:szCs w:val="18"/>
              </w:rPr>
            </w:pPr>
          </w:p>
        </w:tc>
        <w:tc>
          <w:tcPr>
            <w:tcW w:w="3311" w:type="dxa"/>
            <w:vMerge/>
          </w:tcPr>
          <w:p w14:paraId="1E2E202F" w14:textId="77777777" w:rsidR="004C65AA" w:rsidRPr="00D03374" w:rsidRDefault="004C65AA" w:rsidP="007A13D5">
            <w:pPr>
              <w:rPr>
                <w:rFonts w:ascii="Calibri" w:hAnsi="Calibri" w:cs="Calibri"/>
                <w:sz w:val="18"/>
                <w:szCs w:val="18"/>
              </w:rPr>
            </w:pPr>
          </w:p>
        </w:tc>
        <w:tc>
          <w:tcPr>
            <w:tcW w:w="1456" w:type="dxa"/>
            <w:vMerge/>
          </w:tcPr>
          <w:p w14:paraId="6A95801E" w14:textId="77777777" w:rsidR="004C65AA" w:rsidRPr="00D03374" w:rsidRDefault="004C65AA" w:rsidP="007A13D5">
            <w:pPr>
              <w:rPr>
                <w:rFonts w:ascii="Calibri" w:hAnsi="Calibri" w:cs="Calibri"/>
                <w:sz w:val="18"/>
                <w:szCs w:val="18"/>
              </w:rPr>
            </w:pPr>
          </w:p>
        </w:tc>
        <w:tc>
          <w:tcPr>
            <w:tcW w:w="1809" w:type="dxa"/>
            <w:vMerge/>
          </w:tcPr>
          <w:p w14:paraId="0460DEF6" w14:textId="77777777" w:rsidR="004C65AA" w:rsidRPr="00D03374" w:rsidRDefault="004C65AA" w:rsidP="007A13D5">
            <w:pPr>
              <w:rPr>
                <w:rFonts w:ascii="Calibri" w:hAnsi="Calibri" w:cs="Calibri"/>
                <w:sz w:val="18"/>
                <w:szCs w:val="18"/>
              </w:rPr>
            </w:pPr>
          </w:p>
        </w:tc>
        <w:tc>
          <w:tcPr>
            <w:tcW w:w="1795" w:type="dxa"/>
          </w:tcPr>
          <w:p w14:paraId="1356319A"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KOBC 208</w:t>
            </w:r>
          </w:p>
        </w:tc>
      </w:tr>
      <w:tr w:rsidR="004C65AA" w:rsidRPr="00D03374" w14:paraId="6BD3B7A8" w14:textId="77777777" w:rsidTr="007A13D5">
        <w:trPr>
          <w:trHeight w:val="424"/>
        </w:trPr>
        <w:tc>
          <w:tcPr>
            <w:tcW w:w="979" w:type="dxa"/>
            <w:vMerge/>
          </w:tcPr>
          <w:p w14:paraId="26EA201F" w14:textId="77777777" w:rsidR="004C65AA" w:rsidRPr="00D03374" w:rsidRDefault="004C65AA" w:rsidP="007A13D5">
            <w:pPr>
              <w:rPr>
                <w:rFonts w:ascii="Calibri" w:hAnsi="Calibri" w:cs="Calibri"/>
                <w:sz w:val="18"/>
                <w:szCs w:val="18"/>
              </w:rPr>
            </w:pPr>
          </w:p>
        </w:tc>
        <w:tc>
          <w:tcPr>
            <w:tcW w:w="3311" w:type="dxa"/>
            <w:vMerge/>
          </w:tcPr>
          <w:p w14:paraId="7EDF1FB2" w14:textId="77777777" w:rsidR="004C65AA" w:rsidRPr="00D03374" w:rsidRDefault="004C65AA" w:rsidP="007A13D5">
            <w:pPr>
              <w:rPr>
                <w:rFonts w:ascii="Calibri" w:hAnsi="Calibri" w:cs="Calibri"/>
                <w:sz w:val="18"/>
                <w:szCs w:val="18"/>
              </w:rPr>
            </w:pPr>
          </w:p>
        </w:tc>
        <w:tc>
          <w:tcPr>
            <w:tcW w:w="1456" w:type="dxa"/>
            <w:vMerge/>
          </w:tcPr>
          <w:p w14:paraId="50CFF915" w14:textId="77777777" w:rsidR="004C65AA" w:rsidRPr="00D03374" w:rsidRDefault="004C65AA" w:rsidP="007A13D5">
            <w:pPr>
              <w:rPr>
                <w:rFonts w:ascii="Calibri" w:hAnsi="Calibri" w:cs="Calibri"/>
                <w:sz w:val="18"/>
                <w:szCs w:val="18"/>
              </w:rPr>
            </w:pPr>
          </w:p>
        </w:tc>
        <w:tc>
          <w:tcPr>
            <w:tcW w:w="1809" w:type="dxa"/>
            <w:vMerge/>
          </w:tcPr>
          <w:p w14:paraId="55937990" w14:textId="77777777" w:rsidR="004C65AA" w:rsidRPr="00D03374" w:rsidRDefault="004C65AA" w:rsidP="007A13D5">
            <w:pPr>
              <w:rPr>
                <w:rFonts w:ascii="Calibri" w:hAnsi="Calibri" w:cs="Calibri"/>
                <w:sz w:val="18"/>
                <w:szCs w:val="18"/>
              </w:rPr>
            </w:pPr>
          </w:p>
        </w:tc>
        <w:tc>
          <w:tcPr>
            <w:tcW w:w="1795" w:type="dxa"/>
          </w:tcPr>
          <w:p w14:paraId="15AB6879" w14:textId="77777777" w:rsidR="004C65AA" w:rsidRPr="00D03374" w:rsidRDefault="004C65AA" w:rsidP="007A13D5">
            <w:pPr>
              <w:rPr>
                <w:rFonts w:ascii="Calibri" w:hAnsi="Calibri" w:cs="Calibri"/>
                <w:sz w:val="18"/>
                <w:szCs w:val="18"/>
              </w:rPr>
            </w:pPr>
            <w:r w:rsidRPr="001362AE">
              <w:rPr>
                <w:rFonts w:ascii="Calibri" w:hAnsi="Calibri" w:cs="Calibri"/>
                <w:noProof/>
                <w:sz w:val="18"/>
                <w:szCs w:val="18"/>
              </w:rPr>
              <w:t>Yes</w:t>
            </w:r>
          </w:p>
        </w:tc>
      </w:tr>
    </w:tbl>
    <w:p w14:paraId="712F1962" w14:textId="7A31622D" w:rsidR="004C65AA" w:rsidRPr="002114D5"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tbl>
      <w:tblPr>
        <w:tblStyle w:val="TableGridLight"/>
        <w:tblW w:w="9350" w:type="dxa"/>
        <w:tblLook w:val="04A0" w:firstRow="1" w:lastRow="0" w:firstColumn="1" w:lastColumn="0" w:noHBand="0" w:noVBand="1"/>
      </w:tblPr>
      <w:tblGrid>
        <w:gridCol w:w="979"/>
        <w:gridCol w:w="3311"/>
        <w:gridCol w:w="1456"/>
        <w:gridCol w:w="1809"/>
        <w:gridCol w:w="1795"/>
      </w:tblGrid>
      <w:tr w:rsidR="009036BE" w:rsidRPr="00D03374" w14:paraId="1F0785CA" w14:textId="77777777" w:rsidTr="007A13D5">
        <w:trPr>
          <w:trHeight w:val="425"/>
        </w:trPr>
        <w:tc>
          <w:tcPr>
            <w:tcW w:w="9350" w:type="dxa"/>
            <w:gridSpan w:val="5"/>
            <w:shd w:val="clear" w:color="auto" w:fill="A5C9EB" w:themeFill="text2" w:themeFillTint="40"/>
          </w:tcPr>
          <w:p w14:paraId="69C3FE81" w14:textId="08B11C3F" w:rsidR="009036BE" w:rsidRPr="00340E15" w:rsidRDefault="009036BE" w:rsidP="007A13D5">
            <w:pPr>
              <w:rPr>
                <w:rFonts w:ascii="Calibri" w:hAnsi="Calibri" w:cs="Calibri"/>
                <w:noProof/>
                <w:sz w:val="28"/>
                <w:szCs w:val="28"/>
              </w:rPr>
            </w:pPr>
            <w:r w:rsidRPr="001362AE">
              <w:rPr>
                <w:rFonts w:ascii="Calibri" w:hAnsi="Calibri" w:cs="Calibri"/>
                <w:noProof/>
                <w:sz w:val="28"/>
                <w:szCs w:val="28"/>
              </w:rPr>
              <w:t xml:space="preserve">Oral Session </w:t>
            </w:r>
            <w:r w:rsidR="00C06593">
              <w:rPr>
                <w:rFonts w:ascii="Calibri" w:hAnsi="Calibri" w:cs="Calibri"/>
                <w:noProof/>
                <w:sz w:val="28"/>
                <w:szCs w:val="28"/>
              </w:rPr>
              <w:t>1C—</w:t>
            </w:r>
            <w:r w:rsidRPr="00340E15">
              <w:rPr>
                <w:rFonts w:ascii="Calibri" w:hAnsi="Calibri" w:cs="Calibri"/>
                <w:noProof/>
                <w:sz w:val="28"/>
                <w:szCs w:val="28"/>
              </w:rPr>
              <w:t>KOBC</w:t>
            </w:r>
            <w:r w:rsidR="00C06593">
              <w:rPr>
                <w:rFonts w:ascii="Calibri" w:hAnsi="Calibri" w:cs="Calibri"/>
                <w:noProof/>
                <w:sz w:val="28"/>
                <w:szCs w:val="28"/>
              </w:rPr>
              <w:t xml:space="preserve"> </w:t>
            </w:r>
            <w:r w:rsidRPr="00340E15">
              <w:rPr>
                <w:rFonts w:ascii="Calibri" w:hAnsi="Calibri" w:cs="Calibri"/>
                <w:noProof/>
                <w:sz w:val="28"/>
                <w:szCs w:val="28"/>
              </w:rPr>
              <w:t>211</w:t>
            </w:r>
          </w:p>
        </w:tc>
      </w:tr>
      <w:tr w:rsidR="009036BE" w:rsidRPr="00D03374" w14:paraId="00DA6147"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7EA45193" w14:textId="77777777" w:rsidR="009036BE" w:rsidRPr="00340E15" w:rsidRDefault="009036BE" w:rsidP="007A13D5">
            <w:pPr>
              <w:rPr>
                <w:rFonts w:ascii="Calibri" w:hAnsi="Calibri" w:cs="Calibri"/>
                <w:noProof/>
                <w:sz w:val="22"/>
                <w:szCs w:val="22"/>
              </w:rPr>
            </w:pPr>
            <w:bookmarkStart w:id="17" w:name="OralPresentationChmBiochmSciEd"/>
            <w:r w:rsidRPr="00340E15">
              <w:rPr>
                <w:rFonts w:ascii="Calibri" w:hAnsi="Calibri" w:cs="Calibri"/>
                <w:noProof/>
                <w:sz w:val="22"/>
                <w:szCs w:val="22"/>
              </w:rPr>
              <w:t xml:space="preserve">Section:  </w:t>
            </w:r>
            <w:r w:rsidRPr="001362AE">
              <w:rPr>
                <w:rFonts w:ascii="Calibri" w:hAnsi="Calibri" w:cs="Calibri"/>
                <w:noProof/>
                <w:sz w:val="22"/>
                <w:szCs w:val="22"/>
              </w:rPr>
              <w:t>Chemistry, Biochemistry, &amp; Science Education</w:t>
            </w:r>
            <w:bookmarkEnd w:id="17"/>
          </w:p>
        </w:tc>
      </w:tr>
      <w:tr w:rsidR="009036BE" w:rsidRPr="00D03374" w14:paraId="437B70A8" w14:textId="77777777" w:rsidTr="007A13D5">
        <w:trPr>
          <w:trHeight w:hRule="exact" w:val="288"/>
        </w:trPr>
        <w:tc>
          <w:tcPr>
            <w:tcW w:w="979" w:type="dxa"/>
            <w:shd w:val="clear" w:color="auto" w:fill="D9F2D0" w:themeFill="accent6" w:themeFillTint="33"/>
          </w:tcPr>
          <w:p w14:paraId="54D2916C" w14:textId="77777777" w:rsidR="009036BE" w:rsidRDefault="009036BE" w:rsidP="007A13D5">
            <w:pPr>
              <w:rPr>
                <w:rFonts w:ascii="Calibri" w:hAnsi="Calibri" w:cs="Calibri"/>
                <w:noProof/>
                <w:sz w:val="18"/>
                <w:szCs w:val="18"/>
              </w:rPr>
            </w:pPr>
            <w:r>
              <w:rPr>
                <w:rFonts w:ascii="Calibri" w:hAnsi="Calibri" w:cs="Calibri"/>
                <w:noProof/>
                <w:sz w:val="18"/>
                <w:szCs w:val="18"/>
              </w:rPr>
              <w:t>Abstract #</w:t>
            </w:r>
          </w:p>
          <w:p w14:paraId="2D21B1A8" w14:textId="77777777" w:rsidR="009036BE" w:rsidRDefault="009036BE" w:rsidP="007A13D5">
            <w:pPr>
              <w:rPr>
                <w:rFonts w:ascii="Calibri" w:hAnsi="Calibri" w:cs="Calibri"/>
                <w:noProof/>
                <w:sz w:val="18"/>
                <w:szCs w:val="18"/>
              </w:rPr>
            </w:pPr>
          </w:p>
        </w:tc>
        <w:tc>
          <w:tcPr>
            <w:tcW w:w="3311" w:type="dxa"/>
            <w:shd w:val="clear" w:color="auto" w:fill="D9F2D0" w:themeFill="accent6" w:themeFillTint="33"/>
          </w:tcPr>
          <w:p w14:paraId="00A93BAC" w14:textId="77777777" w:rsidR="009036BE" w:rsidRPr="00D03374" w:rsidRDefault="009036BE"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7762ED74" w14:textId="77777777" w:rsidR="009036BE" w:rsidRDefault="009036BE"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293C6F48" w14:textId="77777777" w:rsidR="009036BE" w:rsidRDefault="009036BE"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0E85F101" w14:textId="77777777" w:rsidR="009036BE" w:rsidRDefault="009036BE" w:rsidP="007A13D5">
            <w:pPr>
              <w:rPr>
                <w:rFonts w:ascii="Calibri" w:hAnsi="Calibri" w:cs="Calibri"/>
                <w:noProof/>
                <w:sz w:val="18"/>
                <w:szCs w:val="18"/>
              </w:rPr>
            </w:pPr>
            <w:r>
              <w:rPr>
                <w:rFonts w:ascii="Calibri" w:hAnsi="Calibri" w:cs="Calibri"/>
                <w:noProof/>
                <w:sz w:val="18"/>
                <w:szCs w:val="18"/>
              </w:rPr>
              <w:t>Time/Room/Derieux?</w:t>
            </w:r>
          </w:p>
        </w:tc>
      </w:tr>
      <w:tr w:rsidR="009036BE" w:rsidRPr="00D03374" w14:paraId="43C0177A" w14:textId="77777777" w:rsidTr="007A13D5">
        <w:trPr>
          <w:trHeight w:val="425"/>
        </w:trPr>
        <w:tc>
          <w:tcPr>
            <w:tcW w:w="979" w:type="dxa"/>
            <w:vMerge w:val="restart"/>
          </w:tcPr>
          <w:p w14:paraId="719DA6D5" w14:textId="77777777" w:rsidR="009036BE" w:rsidRPr="00D03374" w:rsidRDefault="009036B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1</w:t>
            </w:r>
          </w:p>
        </w:tc>
        <w:tc>
          <w:tcPr>
            <w:tcW w:w="3311" w:type="dxa"/>
            <w:vMerge w:val="restart"/>
          </w:tcPr>
          <w:p w14:paraId="4816365C"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Comparison and analysis of chemical stability of name brand and generic non-opioid analgesics</w:t>
            </w:r>
          </w:p>
        </w:tc>
        <w:tc>
          <w:tcPr>
            <w:tcW w:w="1456" w:type="dxa"/>
            <w:vMerge w:val="restart"/>
          </w:tcPr>
          <w:p w14:paraId="1730405D"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Bedward Cem*, Andrew Steele.</w:t>
            </w:r>
          </w:p>
        </w:tc>
        <w:tc>
          <w:tcPr>
            <w:tcW w:w="1809" w:type="dxa"/>
            <w:vMerge w:val="restart"/>
          </w:tcPr>
          <w:p w14:paraId="3121FA91"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Lenoir Rhyne University</w:t>
            </w:r>
          </w:p>
        </w:tc>
        <w:tc>
          <w:tcPr>
            <w:tcW w:w="1795" w:type="dxa"/>
          </w:tcPr>
          <w:p w14:paraId="7F964ACA"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8:30-8:45 AM</w:t>
            </w:r>
          </w:p>
        </w:tc>
      </w:tr>
      <w:tr w:rsidR="009036BE" w:rsidRPr="00D03374" w14:paraId="244164C3" w14:textId="77777777" w:rsidTr="007A13D5">
        <w:trPr>
          <w:trHeight w:val="424"/>
        </w:trPr>
        <w:tc>
          <w:tcPr>
            <w:tcW w:w="979" w:type="dxa"/>
            <w:vMerge/>
          </w:tcPr>
          <w:p w14:paraId="3B5172F8" w14:textId="77777777" w:rsidR="009036BE" w:rsidRPr="00D03374" w:rsidRDefault="009036BE" w:rsidP="007A13D5">
            <w:pPr>
              <w:rPr>
                <w:rFonts w:ascii="Calibri" w:hAnsi="Calibri" w:cs="Calibri"/>
                <w:sz w:val="18"/>
                <w:szCs w:val="18"/>
              </w:rPr>
            </w:pPr>
          </w:p>
        </w:tc>
        <w:tc>
          <w:tcPr>
            <w:tcW w:w="3311" w:type="dxa"/>
            <w:vMerge/>
          </w:tcPr>
          <w:p w14:paraId="3EB47128" w14:textId="77777777" w:rsidR="009036BE" w:rsidRPr="00D03374" w:rsidRDefault="009036BE" w:rsidP="007A13D5">
            <w:pPr>
              <w:rPr>
                <w:rFonts w:ascii="Calibri" w:hAnsi="Calibri" w:cs="Calibri"/>
                <w:sz w:val="18"/>
                <w:szCs w:val="18"/>
              </w:rPr>
            </w:pPr>
          </w:p>
        </w:tc>
        <w:tc>
          <w:tcPr>
            <w:tcW w:w="1456" w:type="dxa"/>
            <w:vMerge/>
          </w:tcPr>
          <w:p w14:paraId="2B65D5F0" w14:textId="77777777" w:rsidR="009036BE" w:rsidRPr="00D03374" w:rsidRDefault="009036BE" w:rsidP="007A13D5">
            <w:pPr>
              <w:rPr>
                <w:rFonts w:ascii="Calibri" w:hAnsi="Calibri" w:cs="Calibri"/>
                <w:sz w:val="18"/>
                <w:szCs w:val="18"/>
              </w:rPr>
            </w:pPr>
          </w:p>
        </w:tc>
        <w:tc>
          <w:tcPr>
            <w:tcW w:w="1809" w:type="dxa"/>
            <w:vMerge/>
          </w:tcPr>
          <w:p w14:paraId="7CCD19D2" w14:textId="77777777" w:rsidR="009036BE" w:rsidRPr="00D03374" w:rsidRDefault="009036BE" w:rsidP="007A13D5">
            <w:pPr>
              <w:rPr>
                <w:rFonts w:ascii="Calibri" w:hAnsi="Calibri" w:cs="Calibri"/>
                <w:sz w:val="18"/>
                <w:szCs w:val="18"/>
              </w:rPr>
            </w:pPr>
          </w:p>
        </w:tc>
        <w:tc>
          <w:tcPr>
            <w:tcW w:w="1795" w:type="dxa"/>
          </w:tcPr>
          <w:p w14:paraId="636491FC"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KOBC 211</w:t>
            </w:r>
          </w:p>
        </w:tc>
      </w:tr>
      <w:tr w:rsidR="009036BE" w:rsidRPr="00D03374" w14:paraId="0BE7427D" w14:textId="77777777" w:rsidTr="007A13D5">
        <w:trPr>
          <w:trHeight w:val="424"/>
        </w:trPr>
        <w:tc>
          <w:tcPr>
            <w:tcW w:w="979" w:type="dxa"/>
            <w:vMerge/>
          </w:tcPr>
          <w:p w14:paraId="7BC35C1C" w14:textId="77777777" w:rsidR="009036BE" w:rsidRPr="00D03374" w:rsidRDefault="009036BE" w:rsidP="007A13D5">
            <w:pPr>
              <w:rPr>
                <w:rFonts w:ascii="Calibri" w:hAnsi="Calibri" w:cs="Calibri"/>
                <w:sz w:val="18"/>
                <w:szCs w:val="18"/>
              </w:rPr>
            </w:pPr>
          </w:p>
        </w:tc>
        <w:tc>
          <w:tcPr>
            <w:tcW w:w="3311" w:type="dxa"/>
            <w:vMerge/>
          </w:tcPr>
          <w:p w14:paraId="10B1A51F" w14:textId="77777777" w:rsidR="009036BE" w:rsidRPr="00D03374" w:rsidRDefault="009036BE" w:rsidP="007A13D5">
            <w:pPr>
              <w:rPr>
                <w:rFonts w:ascii="Calibri" w:hAnsi="Calibri" w:cs="Calibri"/>
                <w:sz w:val="18"/>
                <w:szCs w:val="18"/>
              </w:rPr>
            </w:pPr>
          </w:p>
        </w:tc>
        <w:tc>
          <w:tcPr>
            <w:tcW w:w="1456" w:type="dxa"/>
            <w:vMerge/>
          </w:tcPr>
          <w:p w14:paraId="0A184EFC" w14:textId="77777777" w:rsidR="009036BE" w:rsidRPr="00D03374" w:rsidRDefault="009036BE" w:rsidP="007A13D5">
            <w:pPr>
              <w:rPr>
                <w:rFonts w:ascii="Calibri" w:hAnsi="Calibri" w:cs="Calibri"/>
                <w:sz w:val="18"/>
                <w:szCs w:val="18"/>
              </w:rPr>
            </w:pPr>
          </w:p>
        </w:tc>
        <w:tc>
          <w:tcPr>
            <w:tcW w:w="1809" w:type="dxa"/>
            <w:vMerge/>
          </w:tcPr>
          <w:p w14:paraId="619AE047" w14:textId="77777777" w:rsidR="009036BE" w:rsidRPr="00D03374" w:rsidRDefault="009036BE" w:rsidP="007A13D5">
            <w:pPr>
              <w:rPr>
                <w:rFonts w:ascii="Calibri" w:hAnsi="Calibri" w:cs="Calibri"/>
                <w:sz w:val="18"/>
                <w:szCs w:val="18"/>
              </w:rPr>
            </w:pPr>
          </w:p>
        </w:tc>
        <w:tc>
          <w:tcPr>
            <w:tcW w:w="1795" w:type="dxa"/>
          </w:tcPr>
          <w:p w14:paraId="0D9AEF9E"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Yes</w:t>
            </w:r>
          </w:p>
        </w:tc>
      </w:tr>
      <w:tr w:rsidR="009036BE" w:rsidRPr="00D03374" w14:paraId="5204C100" w14:textId="77777777" w:rsidTr="007A13D5">
        <w:trPr>
          <w:trHeight w:val="425"/>
        </w:trPr>
        <w:tc>
          <w:tcPr>
            <w:tcW w:w="979" w:type="dxa"/>
            <w:vMerge w:val="restart"/>
          </w:tcPr>
          <w:p w14:paraId="41EE70D4" w14:textId="77777777" w:rsidR="009036BE" w:rsidRPr="00D03374" w:rsidRDefault="009036B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2</w:t>
            </w:r>
          </w:p>
        </w:tc>
        <w:tc>
          <w:tcPr>
            <w:tcW w:w="3311" w:type="dxa"/>
            <w:vMerge w:val="restart"/>
          </w:tcPr>
          <w:p w14:paraId="736B506D"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Inhibition of thermal oxidation of oleic acid to prevent hemagglutination</w:t>
            </w:r>
          </w:p>
        </w:tc>
        <w:tc>
          <w:tcPr>
            <w:tcW w:w="1456" w:type="dxa"/>
            <w:vMerge w:val="restart"/>
          </w:tcPr>
          <w:p w14:paraId="76F95683"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Silverman, Landon and Darryl Bing, Ph.D.</w:t>
            </w:r>
          </w:p>
        </w:tc>
        <w:tc>
          <w:tcPr>
            <w:tcW w:w="1809" w:type="dxa"/>
            <w:vMerge w:val="restart"/>
          </w:tcPr>
          <w:p w14:paraId="5678D59A"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Durham Technical Community College</w:t>
            </w:r>
          </w:p>
        </w:tc>
        <w:tc>
          <w:tcPr>
            <w:tcW w:w="1795" w:type="dxa"/>
          </w:tcPr>
          <w:p w14:paraId="74A75214"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8:45-9:00 AM</w:t>
            </w:r>
          </w:p>
        </w:tc>
      </w:tr>
      <w:tr w:rsidR="009036BE" w:rsidRPr="00D03374" w14:paraId="19F7E954" w14:textId="77777777" w:rsidTr="007A13D5">
        <w:trPr>
          <w:trHeight w:val="424"/>
        </w:trPr>
        <w:tc>
          <w:tcPr>
            <w:tcW w:w="979" w:type="dxa"/>
            <w:vMerge/>
          </w:tcPr>
          <w:p w14:paraId="1B6D0108" w14:textId="77777777" w:rsidR="009036BE" w:rsidRPr="00D03374" w:rsidRDefault="009036BE" w:rsidP="007A13D5">
            <w:pPr>
              <w:rPr>
                <w:rFonts w:ascii="Calibri" w:hAnsi="Calibri" w:cs="Calibri"/>
                <w:sz w:val="18"/>
                <w:szCs w:val="18"/>
              </w:rPr>
            </w:pPr>
          </w:p>
        </w:tc>
        <w:tc>
          <w:tcPr>
            <w:tcW w:w="3311" w:type="dxa"/>
            <w:vMerge/>
          </w:tcPr>
          <w:p w14:paraId="3FCD5630" w14:textId="77777777" w:rsidR="009036BE" w:rsidRPr="00D03374" w:rsidRDefault="009036BE" w:rsidP="007A13D5">
            <w:pPr>
              <w:rPr>
                <w:rFonts w:ascii="Calibri" w:hAnsi="Calibri" w:cs="Calibri"/>
                <w:sz w:val="18"/>
                <w:szCs w:val="18"/>
              </w:rPr>
            </w:pPr>
          </w:p>
        </w:tc>
        <w:tc>
          <w:tcPr>
            <w:tcW w:w="1456" w:type="dxa"/>
            <w:vMerge/>
          </w:tcPr>
          <w:p w14:paraId="437057D0" w14:textId="77777777" w:rsidR="009036BE" w:rsidRPr="00D03374" w:rsidRDefault="009036BE" w:rsidP="007A13D5">
            <w:pPr>
              <w:rPr>
                <w:rFonts w:ascii="Calibri" w:hAnsi="Calibri" w:cs="Calibri"/>
                <w:sz w:val="18"/>
                <w:szCs w:val="18"/>
              </w:rPr>
            </w:pPr>
          </w:p>
        </w:tc>
        <w:tc>
          <w:tcPr>
            <w:tcW w:w="1809" w:type="dxa"/>
            <w:vMerge/>
          </w:tcPr>
          <w:p w14:paraId="47E5A160" w14:textId="77777777" w:rsidR="009036BE" w:rsidRPr="00D03374" w:rsidRDefault="009036BE" w:rsidP="007A13D5">
            <w:pPr>
              <w:rPr>
                <w:rFonts w:ascii="Calibri" w:hAnsi="Calibri" w:cs="Calibri"/>
                <w:sz w:val="18"/>
                <w:szCs w:val="18"/>
              </w:rPr>
            </w:pPr>
          </w:p>
        </w:tc>
        <w:tc>
          <w:tcPr>
            <w:tcW w:w="1795" w:type="dxa"/>
          </w:tcPr>
          <w:p w14:paraId="4F6CBF68"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KOBC 211</w:t>
            </w:r>
          </w:p>
        </w:tc>
      </w:tr>
      <w:tr w:rsidR="009036BE" w:rsidRPr="00D03374" w14:paraId="4C98A29D" w14:textId="77777777" w:rsidTr="007A13D5">
        <w:trPr>
          <w:trHeight w:val="424"/>
        </w:trPr>
        <w:tc>
          <w:tcPr>
            <w:tcW w:w="979" w:type="dxa"/>
            <w:vMerge/>
          </w:tcPr>
          <w:p w14:paraId="56BEE83F" w14:textId="77777777" w:rsidR="009036BE" w:rsidRPr="00D03374" w:rsidRDefault="009036BE" w:rsidP="007A13D5">
            <w:pPr>
              <w:rPr>
                <w:rFonts w:ascii="Calibri" w:hAnsi="Calibri" w:cs="Calibri"/>
                <w:sz w:val="18"/>
                <w:szCs w:val="18"/>
              </w:rPr>
            </w:pPr>
          </w:p>
        </w:tc>
        <w:tc>
          <w:tcPr>
            <w:tcW w:w="3311" w:type="dxa"/>
            <w:vMerge/>
          </w:tcPr>
          <w:p w14:paraId="74E0A395" w14:textId="77777777" w:rsidR="009036BE" w:rsidRPr="00D03374" w:rsidRDefault="009036BE" w:rsidP="007A13D5">
            <w:pPr>
              <w:rPr>
                <w:rFonts w:ascii="Calibri" w:hAnsi="Calibri" w:cs="Calibri"/>
                <w:sz w:val="18"/>
                <w:szCs w:val="18"/>
              </w:rPr>
            </w:pPr>
          </w:p>
        </w:tc>
        <w:tc>
          <w:tcPr>
            <w:tcW w:w="1456" w:type="dxa"/>
            <w:vMerge/>
          </w:tcPr>
          <w:p w14:paraId="68F07E24" w14:textId="77777777" w:rsidR="009036BE" w:rsidRPr="00D03374" w:rsidRDefault="009036BE" w:rsidP="007A13D5">
            <w:pPr>
              <w:rPr>
                <w:rFonts w:ascii="Calibri" w:hAnsi="Calibri" w:cs="Calibri"/>
                <w:sz w:val="18"/>
                <w:szCs w:val="18"/>
              </w:rPr>
            </w:pPr>
          </w:p>
        </w:tc>
        <w:tc>
          <w:tcPr>
            <w:tcW w:w="1809" w:type="dxa"/>
            <w:vMerge/>
          </w:tcPr>
          <w:p w14:paraId="6D242462" w14:textId="77777777" w:rsidR="009036BE" w:rsidRPr="00D03374" w:rsidRDefault="009036BE" w:rsidP="007A13D5">
            <w:pPr>
              <w:rPr>
                <w:rFonts w:ascii="Calibri" w:hAnsi="Calibri" w:cs="Calibri"/>
                <w:sz w:val="18"/>
                <w:szCs w:val="18"/>
              </w:rPr>
            </w:pPr>
          </w:p>
        </w:tc>
        <w:tc>
          <w:tcPr>
            <w:tcW w:w="1795" w:type="dxa"/>
          </w:tcPr>
          <w:p w14:paraId="1E94C6BA"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Yes</w:t>
            </w:r>
          </w:p>
        </w:tc>
      </w:tr>
      <w:tr w:rsidR="009036BE" w:rsidRPr="00D03374" w14:paraId="0F1DA79E" w14:textId="77777777" w:rsidTr="007A13D5">
        <w:trPr>
          <w:trHeight w:val="425"/>
        </w:trPr>
        <w:tc>
          <w:tcPr>
            <w:tcW w:w="979" w:type="dxa"/>
            <w:vMerge w:val="restart"/>
          </w:tcPr>
          <w:p w14:paraId="16A34119" w14:textId="77777777" w:rsidR="009036BE" w:rsidRPr="00D03374" w:rsidRDefault="009036B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3</w:t>
            </w:r>
          </w:p>
        </w:tc>
        <w:tc>
          <w:tcPr>
            <w:tcW w:w="3311" w:type="dxa"/>
            <w:vMerge w:val="restart"/>
          </w:tcPr>
          <w:p w14:paraId="10050A51"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Determination of retinol concentration in various skin care products using HPLC</w:t>
            </w:r>
          </w:p>
        </w:tc>
        <w:tc>
          <w:tcPr>
            <w:tcW w:w="1456" w:type="dxa"/>
            <w:vMerge w:val="restart"/>
          </w:tcPr>
          <w:p w14:paraId="2C697BAD"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AbdelAziz, Raneen*</w:t>
            </w:r>
          </w:p>
        </w:tc>
        <w:tc>
          <w:tcPr>
            <w:tcW w:w="1809" w:type="dxa"/>
            <w:vMerge w:val="restart"/>
          </w:tcPr>
          <w:p w14:paraId="65BA62CE"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Wingate University</w:t>
            </w:r>
          </w:p>
        </w:tc>
        <w:tc>
          <w:tcPr>
            <w:tcW w:w="1795" w:type="dxa"/>
          </w:tcPr>
          <w:p w14:paraId="3A6D5333"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9:00-9:15 AM</w:t>
            </w:r>
          </w:p>
        </w:tc>
      </w:tr>
      <w:tr w:rsidR="009036BE" w:rsidRPr="00D03374" w14:paraId="7DA56342" w14:textId="77777777" w:rsidTr="007A13D5">
        <w:trPr>
          <w:trHeight w:val="424"/>
        </w:trPr>
        <w:tc>
          <w:tcPr>
            <w:tcW w:w="979" w:type="dxa"/>
            <w:vMerge/>
          </w:tcPr>
          <w:p w14:paraId="7FB414F0" w14:textId="77777777" w:rsidR="009036BE" w:rsidRPr="00D03374" w:rsidRDefault="009036BE" w:rsidP="007A13D5">
            <w:pPr>
              <w:rPr>
                <w:rFonts w:ascii="Calibri" w:hAnsi="Calibri" w:cs="Calibri"/>
                <w:sz w:val="18"/>
                <w:szCs w:val="18"/>
              </w:rPr>
            </w:pPr>
          </w:p>
        </w:tc>
        <w:tc>
          <w:tcPr>
            <w:tcW w:w="3311" w:type="dxa"/>
            <w:vMerge/>
          </w:tcPr>
          <w:p w14:paraId="3A943266" w14:textId="77777777" w:rsidR="009036BE" w:rsidRPr="00D03374" w:rsidRDefault="009036BE" w:rsidP="007A13D5">
            <w:pPr>
              <w:rPr>
                <w:rFonts w:ascii="Calibri" w:hAnsi="Calibri" w:cs="Calibri"/>
                <w:sz w:val="18"/>
                <w:szCs w:val="18"/>
              </w:rPr>
            </w:pPr>
          </w:p>
        </w:tc>
        <w:tc>
          <w:tcPr>
            <w:tcW w:w="1456" w:type="dxa"/>
            <w:vMerge/>
          </w:tcPr>
          <w:p w14:paraId="625E4C98" w14:textId="77777777" w:rsidR="009036BE" w:rsidRPr="00D03374" w:rsidRDefault="009036BE" w:rsidP="007A13D5">
            <w:pPr>
              <w:rPr>
                <w:rFonts w:ascii="Calibri" w:hAnsi="Calibri" w:cs="Calibri"/>
                <w:sz w:val="18"/>
                <w:szCs w:val="18"/>
              </w:rPr>
            </w:pPr>
          </w:p>
        </w:tc>
        <w:tc>
          <w:tcPr>
            <w:tcW w:w="1809" w:type="dxa"/>
            <w:vMerge/>
          </w:tcPr>
          <w:p w14:paraId="56AD3F61" w14:textId="77777777" w:rsidR="009036BE" w:rsidRPr="00D03374" w:rsidRDefault="009036BE" w:rsidP="007A13D5">
            <w:pPr>
              <w:rPr>
                <w:rFonts w:ascii="Calibri" w:hAnsi="Calibri" w:cs="Calibri"/>
                <w:sz w:val="18"/>
                <w:szCs w:val="18"/>
              </w:rPr>
            </w:pPr>
          </w:p>
        </w:tc>
        <w:tc>
          <w:tcPr>
            <w:tcW w:w="1795" w:type="dxa"/>
          </w:tcPr>
          <w:p w14:paraId="4F65561D"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KOBC 211</w:t>
            </w:r>
          </w:p>
        </w:tc>
      </w:tr>
      <w:tr w:rsidR="009036BE" w:rsidRPr="00D03374" w14:paraId="7E2751BD" w14:textId="77777777" w:rsidTr="007A13D5">
        <w:trPr>
          <w:trHeight w:val="424"/>
        </w:trPr>
        <w:tc>
          <w:tcPr>
            <w:tcW w:w="979" w:type="dxa"/>
            <w:vMerge/>
          </w:tcPr>
          <w:p w14:paraId="4CDDDB2E" w14:textId="77777777" w:rsidR="009036BE" w:rsidRPr="00D03374" w:rsidRDefault="009036BE" w:rsidP="007A13D5">
            <w:pPr>
              <w:rPr>
                <w:rFonts w:ascii="Calibri" w:hAnsi="Calibri" w:cs="Calibri"/>
                <w:sz w:val="18"/>
                <w:szCs w:val="18"/>
              </w:rPr>
            </w:pPr>
          </w:p>
        </w:tc>
        <w:tc>
          <w:tcPr>
            <w:tcW w:w="3311" w:type="dxa"/>
            <w:vMerge/>
          </w:tcPr>
          <w:p w14:paraId="762E4574" w14:textId="77777777" w:rsidR="009036BE" w:rsidRPr="00D03374" w:rsidRDefault="009036BE" w:rsidP="007A13D5">
            <w:pPr>
              <w:rPr>
                <w:rFonts w:ascii="Calibri" w:hAnsi="Calibri" w:cs="Calibri"/>
                <w:sz w:val="18"/>
                <w:szCs w:val="18"/>
              </w:rPr>
            </w:pPr>
          </w:p>
        </w:tc>
        <w:tc>
          <w:tcPr>
            <w:tcW w:w="1456" w:type="dxa"/>
            <w:vMerge/>
          </w:tcPr>
          <w:p w14:paraId="682B79DC" w14:textId="77777777" w:rsidR="009036BE" w:rsidRPr="00D03374" w:rsidRDefault="009036BE" w:rsidP="007A13D5">
            <w:pPr>
              <w:rPr>
                <w:rFonts w:ascii="Calibri" w:hAnsi="Calibri" w:cs="Calibri"/>
                <w:sz w:val="18"/>
                <w:szCs w:val="18"/>
              </w:rPr>
            </w:pPr>
          </w:p>
        </w:tc>
        <w:tc>
          <w:tcPr>
            <w:tcW w:w="1809" w:type="dxa"/>
            <w:vMerge/>
          </w:tcPr>
          <w:p w14:paraId="66EEDD89" w14:textId="77777777" w:rsidR="009036BE" w:rsidRPr="00D03374" w:rsidRDefault="009036BE" w:rsidP="007A13D5">
            <w:pPr>
              <w:rPr>
                <w:rFonts w:ascii="Calibri" w:hAnsi="Calibri" w:cs="Calibri"/>
                <w:sz w:val="18"/>
                <w:szCs w:val="18"/>
              </w:rPr>
            </w:pPr>
          </w:p>
        </w:tc>
        <w:tc>
          <w:tcPr>
            <w:tcW w:w="1795" w:type="dxa"/>
          </w:tcPr>
          <w:p w14:paraId="74B5D132"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No</w:t>
            </w:r>
          </w:p>
        </w:tc>
      </w:tr>
      <w:tr w:rsidR="009036BE" w:rsidRPr="00D03374" w14:paraId="160D4A07" w14:textId="77777777" w:rsidTr="007A13D5">
        <w:trPr>
          <w:trHeight w:val="425"/>
        </w:trPr>
        <w:tc>
          <w:tcPr>
            <w:tcW w:w="979" w:type="dxa"/>
            <w:vMerge w:val="restart"/>
          </w:tcPr>
          <w:p w14:paraId="4577B320" w14:textId="77777777" w:rsidR="009036BE" w:rsidRPr="00D03374" w:rsidRDefault="009036B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4</w:t>
            </w:r>
          </w:p>
        </w:tc>
        <w:tc>
          <w:tcPr>
            <w:tcW w:w="3311" w:type="dxa"/>
            <w:vMerge w:val="restart"/>
          </w:tcPr>
          <w:p w14:paraId="1C1FA905"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Development of a Novel Diels-Alder Reaction</w:t>
            </w:r>
          </w:p>
        </w:tc>
        <w:tc>
          <w:tcPr>
            <w:tcW w:w="1456" w:type="dxa"/>
            <w:vMerge w:val="restart"/>
          </w:tcPr>
          <w:p w14:paraId="05A3E8DB"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Trivett, Laura P*, Blue, Elizabeth D</w:t>
            </w:r>
          </w:p>
        </w:tc>
        <w:tc>
          <w:tcPr>
            <w:tcW w:w="1809" w:type="dxa"/>
            <w:vMerge w:val="restart"/>
          </w:tcPr>
          <w:p w14:paraId="7C28CA55"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Department of Chemistry &amp; Physics, Campbell University</w:t>
            </w:r>
          </w:p>
        </w:tc>
        <w:tc>
          <w:tcPr>
            <w:tcW w:w="1795" w:type="dxa"/>
          </w:tcPr>
          <w:p w14:paraId="43E72899"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9:15-9:30 AM</w:t>
            </w:r>
          </w:p>
        </w:tc>
      </w:tr>
      <w:tr w:rsidR="009036BE" w:rsidRPr="00D03374" w14:paraId="58ED7EAC" w14:textId="77777777" w:rsidTr="007A13D5">
        <w:trPr>
          <w:trHeight w:val="424"/>
        </w:trPr>
        <w:tc>
          <w:tcPr>
            <w:tcW w:w="979" w:type="dxa"/>
            <w:vMerge/>
          </w:tcPr>
          <w:p w14:paraId="16DDBD38" w14:textId="77777777" w:rsidR="009036BE" w:rsidRPr="00D03374" w:rsidRDefault="009036BE" w:rsidP="007A13D5">
            <w:pPr>
              <w:rPr>
                <w:rFonts w:ascii="Calibri" w:hAnsi="Calibri" w:cs="Calibri"/>
                <w:sz w:val="18"/>
                <w:szCs w:val="18"/>
              </w:rPr>
            </w:pPr>
          </w:p>
        </w:tc>
        <w:tc>
          <w:tcPr>
            <w:tcW w:w="3311" w:type="dxa"/>
            <w:vMerge/>
          </w:tcPr>
          <w:p w14:paraId="53B0DC8B" w14:textId="77777777" w:rsidR="009036BE" w:rsidRPr="00D03374" w:rsidRDefault="009036BE" w:rsidP="007A13D5">
            <w:pPr>
              <w:rPr>
                <w:rFonts w:ascii="Calibri" w:hAnsi="Calibri" w:cs="Calibri"/>
                <w:sz w:val="18"/>
                <w:szCs w:val="18"/>
              </w:rPr>
            </w:pPr>
          </w:p>
        </w:tc>
        <w:tc>
          <w:tcPr>
            <w:tcW w:w="1456" w:type="dxa"/>
            <w:vMerge/>
          </w:tcPr>
          <w:p w14:paraId="43099A1C" w14:textId="77777777" w:rsidR="009036BE" w:rsidRPr="00D03374" w:rsidRDefault="009036BE" w:rsidP="007A13D5">
            <w:pPr>
              <w:rPr>
                <w:rFonts w:ascii="Calibri" w:hAnsi="Calibri" w:cs="Calibri"/>
                <w:sz w:val="18"/>
                <w:szCs w:val="18"/>
              </w:rPr>
            </w:pPr>
          </w:p>
        </w:tc>
        <w:tc>
          <w:tcPr>
            <w:tcW w:w="1809" w:type="dxa"/>
            <w:vMerge/>
          </w:tcPr>
          <w:p w14:paraId="626A074D" w14:textId="77777777" w:rsidR="009036BE" w:rsidRPr="00D03374" w:rsidRDefault="009036BE" w:rsidP="007A13D5">
            <w:pPr>
              <w:rPr>
                <w:rFonts w:ascii="Calibri" w:hAnsi="Calibri" w:cs="Calibri"/>
                <w:sz w:val="18"/>
                <w:szCs w:val="18"/>
              </w:rPr>
            </w:pPr>
          </w:p>
        </w:tc>
        <w:tc>
          <w:tcPr>
            <w:tcW w:w="1795" w:type="dxa"/>
          </w:tcPr>
          <w:p w14:paraId="18A6FABA"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KOBC 211</w:t>
            </w:r>
          </w:p>
        </w:tc>
      </w:tr>
      <w:tr w:rsidR="009036BE" w:rsidRPr="00D03374" w14:paraId="3A105B3E" w14:textId="77777777" w:rsidTr="007A13D5">
        <w:trPr>
          <w:trHeight w:val="424"/>
        </w:trPr>
        <w:tc>
          <w:tcPr>
            <w:tcW w:w="979" w:type="dxa"/>
            <w:vMerge/>
          </w:tcPr>
          <w:p w14:paraId="2A2162CE" w14:textId="77777777" w:rsidR="009036BE" w:rsidRPr="00D03374" w:rsidRDefault="009036BE" w:rsidP="007A13D5">
            <w:pPr>
              <w:rPr>
                <w:rFonts w:ascii="Calibri" w:hAnsi="Calibri" w:cs="Calibri"/>
                <w:sz w:val="18"/>
                <w:szCs w:val="18"/>
              </w:rPr>
            </w:pPr>
          </w:p>
        </w:tc>
        <w:tc>
          <w:tcPr>
            <w:tcW w:w="3311" w:type="dxa"/>
            <w:vMerge/>
          </w:tcPr>
          <w:p w14:paraId="5DD835E7" w14:textId="77777777" w:rsidR="009036BE" w:rsidRPr="00D03374" w:rsidRDefault="009036BE" w:rsidP="007A13D5">
            <w:pPr>
              <w:rPr>
                <w:rFonts w:ascii="Calibri" w:hAnsi="Calibri" w:cs="Calibri"/>
                <w:sz w:val="18"/>
                <w:szCs w:val="18"/>
              </w:rPr>
            </w:pPr>
          </w:p>
        </w:tc>
        <w:tc>
          <w:tcPr>
            <w:tcW w:w="1456" w:type="dxa"/>
            <w:vMerge/>
          </w:tcPr>
          <w:p w14:paraId="4A98BA2E" w14:textId="77777777" w:rsidR="009036BE" w:rsidRPr="00D03374" w:rsidRDefault="009036BE" w:rsidP="007A13D5">
            <w:pPr>
              <w:rPr>
                <w:rFonts w:ascii="Calibri" w:hAnsi="Calibri" w:cs="Calibri"/>
                <w:sz w:val="18"/>
                <w:szCs w:val="18"/>
              </w:rPr>
            </w:pPr>
          </w:p>
        </w:tc>
        <w:tc>
          <w:tcPr>
            <w:tcW w:w="1809" w:type="dxa"/>
            <w:vMerge/>
          </w:tcPr>
          <w:p w14:paraId="602B59B1" w14:textId="77777777" w:rsidR="009036BE" w:rsidRPr="00D03374" w:rsidRDefault="009036BE" w:rsidP="007A13D5">
            <w:pPr>
              <w:rPr>
                <w:rFonts w:ascii="Calibri" w:hAnsi="Calibri" w:cs="Calibri"/>
                <w:sz w:val="18"/>
                <w:szCs w:val="18"/>
              </w:rPr>
            </w:pPr>
          </w:p>
        </w:tc>
        <w:tc>
          <w:tcPr>
            <w:tcW w:w="1795" w:type="dxa"/>
          </w:tcPr>
          <w:p w14:paraId="7A1CB31D" w14:textId="77777777" w:rsidR="009036BE" w:rsidRPr="00D03374" w:rsidRDefault="009036BE" w:rsidP="007A13D5">
            <w:pPr>
              <w:rPr>
                <w:rFonts w:ascii="Calibri" w:hAnsi="Calibri" w:cs="Calibri"/>
                <w:sz w:val="18"/>
                <w:szCs w:val="18"/>
              </w:rPr>
            </w:pPr>
            <w:r w:rsidRPr="001362AE">
              <w:rPr>
                <w:rFonts w:ascii="Calibri" w:hAnsi="Calibri" w:cs="Calibri"/>
                <w:noProof/>
                <w:sz w:val="18"/>
                <w:szCs w:val="18"/>
              </w:rPr>
              <w:t>Yes</w:t>
            </w:r>
          </w:p>
        </w:tc>
      </w:tr>
    </w:tbl>
    <w:p w14:paraId="6E63125A" w14:textId="051B9441" w:rsidR="009036BE" w:rsidRPr="002114D5"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tbl>
      <w:tblPr>
        <w:tblStyle w:val="TableGridLight"/>
        <w:tblW w:w="9350" w:type="dxa"/>
        <w:tblLook w:val="04A0" w:firstRow="1" w:lastRow="0" w:firstColumn="1" w:lastColumn="0" w:noHBand="0" w:noVBand="1"/>
      </w:tblPr>
      <w:tblGrid>
        <w:gridCol w:w="979"/>
        <w:gridCol w:w="3311"/>
        <w:gridCol w:w="1456"/>
        <w:gridCol w:w="1809"/>
        <w:gridCol w:w="1795"/>
      </w:tblGrid>
      <w:tr w:rsidR="00AA3509" w:rsidRPr="00D03374" w14:paraId="34A96F19" w14:textId="77777777" w:rsidTr="007A13D5">
        <w:trPr>
          <w:trHeight w:val="425"/>
        </w:trPr>
        <w:tc>
          <w:tcPr>
            <w:tcW w:w="9350" w:type="dxa"/>
            <w:gridSpan w:val="5"/>
            <w:shd w:val="clear" w:color="auto" w:fill="A5C9EB" w:themeFill="text2" w:themeFillTint="40"/>
          </w:tcPr>
          <w:p w14:paraId="29C639F0" w14:textId="6593D7B4" w:rsidR="00AA3509" w:rsidRPr="00340E15" w:rsidRDefault="00AA3509" w:rsidP="007A13D5">
            <w:pPr>
              <w:rPr>
                <w:rFonts w:ascii="Calibri" w:hAnsi="Calibri" w:cs="Calibri"/>
                <w:noProof/>
                <w:sz w:val="28"/>
                <w:szCs w:val="28"/>
              </w:rPr>
            </w:pPr>
            <w:r w:rsidRPr="001362AE">
              <w:rPr>
                <w:rFonts w:ascii="Calibri" w:hAnsi="Calibri" w:cs="Calibri"/>
                <w:noProof/>
                <w:sz w:val="28"/>
                <w:szCs w:val="28"/>
              </w:rPr>
              <w:t xml:space="preserve">Oral Session </w:t>
            </w:r>
            <w:r w:rsidR="00C06593">
              <w:rPr>
                <w:rFonts w:ascii="Calibri" w:hAnsi="Calibri" w:cs="Calibri"/>
                <w:noProof/>
                <w:sz w:val="28"/>
                <w:szCs w:val="28"/>
              </w:rPr>
              <w:t>1D</w:t>
            </w:r>
            <w:r w:rsidRPr="00340E15">
              <w:rPr>
                <w:rFonts w:ascii="Calibri" w:hAnsi="Calibri" w:cs="Calibri"/>
                <w:noProof/>
                <w:sz w:val="28"/>
                <w:szCs w:val="28"/>
              </w:rPr>
              <w:t>--KOBC 237</w:t>
            </w:r>
          </w:p>
        </w:tc>
      </w:tr>
      <w:tr w:rsidR="00AA3509" w:rsidRPr="00D03374" w14:paraId="28F060D4"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6317F3C9" w14:textId="77777777" w:rsidR="00AA3509" w:rsidRPr="00340E15" w:rsidRDefault="00AA3509" w:rsidP="007A13D5">
            <w:pPr>
              <w:rPr>
                <w:rFonts w:ascii="Calibri" w:hAnsi="Calibri" w:cs="Calibri"/>
                <w:noProof/>
                <w:sz w:val="22"/>
                <w:szCs w:val="22"/>
              </w:rPr>
            </w:pPr>
            <w:r w:rsidRPr="00340E15">
              <w:rPr>
                <w:rFonts w:ascii="Calibri" w:hAnsi="Calibri" w:cs="Calibri"/>
                <w:noProof/>
                <w:sz w:val="22"/>
                <w:szCs w:val="22"/>
              </w:rPr>
              <w:t xml:space="preserve">Section:  </w:t>
            </w:r>
            <w:bookmarkStart w:id="18" w:name="OralPresentationPhysBiotech"/>
            <w:r w:rsidRPr="001362AE">
              <w:rPr>
                <w:rFonts w:ascii="Calibri" w:hAnsi="Calibri" w:cs="Calibri"/>
                <w:noProof/>
                <w:sz w:val="22"/>
                <w:szCs w:val="22"/>
              </w:rPr>
              <w:t>Physiology  &amp; Biotechnology</w:t>
            </w:r>
            <w:bookmarkEnd w:id="18"/>
          </w:p>
        </w:tc>
      </w:tr>
      <w:tr w:rsidR="00AA3509" w:rsidRPr="00D03374" w14:paraId="7491EE82" w14:textId="77777777" w:rsidTr="007A13D5">
        <w:trPr>
          <w:trHeight w:hRule="exact" w:val="288"/>
        </w:trPr>
        <w:tc>
          <w:tcPr>
            <w:tcW w:w="979" w:type="dxa"/>
            <w:shd w:val="clear" w:color="auto" w:fill="D9F2D0" w:themeFill="accent6" w:themeFillTint="33"/>
          </w:tcPr>
          <w:p w14:paraId="28BF73B1" w14:textId="77777777" w:rsidR="00AA3509" w:rsidRDefault="00AA3509" w:rsidP="007A13D5">
            <w:pPr>
              <w:rPr>
                <w:rFonts w:ascii="Calibri" w:hAnsi="Calibri" w:cs="Calibri"/>
                <w:noProof/>
                <w:sz w:val="18"/>
                <w:szCs w:val="18"/>
              </w:rPr>
            </w:pPr>
            <w:r>
              <w:rPr>
                <w:rFonts w:ascii="Calibri" w:hAnsi="Calibri" w:cs="Calibri"/>
                <w:noProof/>
                <w:sz w:val="18"/>
                <w:szCs w:val="18"/>
              </w:rPr>
              <w:t>Abstract #</w:t>
            </w:r>
          </w:p>
          <w:p w14:paraId="53C61C80" w14:textId="77777777" w:rsidR="00AA3509" w:rsidRDefault="00AA3509" w:rsidP="007A13D5">
            <w:pPr>
              <w:rPr>
                <w:rFonts w:ascii="Calibri" w:hAnsi="Calibri" w:cs="Calibri"/>
                <w:noProof/>
                <w:sz w:val="18"/>
                <w:szCs w:val="18"/>
              </w:rPr>
            </w:pPr>
          </w:p>
        </w:tc>
        <w:tc>
          <w:tcPr>
            <w:tcW w:w="3311" w:type="dxa"/>
            <w:shd w:val="clear" w:color="auto" w:fill="D9F2D0" w:themeFill="accent6" w:themeFillTint="33"/>
          </w:tcPr>
          <w:p w14:paraId="7240341D" w14:textId="77777777" w:rsidR="00AA3509" w:rsidRPr="00D03374" w:rsidRDefault="00AA3509"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241C1FAB" w14:textId="77777777" w:rsidR="00AA3509" w:rsidRDefault="00AA3509"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65F7A295" w14:textId="77777777" w:rsidR="00AA3509" w:rsidRDefault="00AA3509"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6825288F" w14:textId="77777777" w:rsidR="00AA3509" w:rsidRDefault="00AA3509" w:rsidP="007A13D5">
            <w:pPr>
              <w:rPr>
                <w:rFonts w:ascii="Calibri" w:hAnsi="Calibri" w:cs="Calibri"/>
                <w:noProof/>
                <w:sz w:val="18"/>
                <w:szCs w:val="18"/>
              </w:rPr>
            </w:pPr>
            <w:r>
              <w:rPr>
                <w:rFonts w:ascii="Calibri" w:hAnsi="Calibri" w:cs="Calibri"/>
                <w:noProof/>
                <w:sz w:val="18"/>
                <w:szCs w:val="18"/>
              </w:rPr>
              <w:t>Time/Room/Derieux?</w:t>
            </w:r>
          </w:p>
        </w:tc>
      </w:tr>
      <w:tr w:rsidR="00AA3509" w:rsidRPr="00D03374" w14:paraId="1212324D" w14:textId="77777777" w:rsidTr="007A13D5">
        <w:trPr>
          <w:trHeight w:val="425"/>
        </w:trPr>
        <w:tc>
          <w:tcPr>
            <w:tcW w:w="979" w:type="dxa"/>
            <w:vMerge w:val="restart"/>
          </w:tcPr>
          <w:p w14:paraId="1D77D509" w14:textId="77777777" w:rsidR="00AA3509" w:rsidRPr="00D03374" w:rsidRDefault="00AA3509"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5</w:t>
            </w:r>
          </w:p>
        </w:tc>
        <w:tc>
          <w:tcPr>
            <w:tcW w:w="3311" w:type="dxa"/>
            <w:vMerge w:val="restart"/>
          </w:tcPr>
          <w:p w14:paraId="19346BA6"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Cryopreservation of mouse (</w:t>
            </w:r>
            <w:r w:rsidRPr="00AB3440">
              <w:rPr>
                <w:rFonts w:ascii="Calibri" w:hAnsi="Calibri" w:cs="Calibri"/>
                <w:i/>
                <w:iCs/>
                <w:noProof/>
                <w:sz w:val="18"/>
                <w:szCs w:val="18"/>
              </w:rPr>
              <w:t>Mus musculus</w:t>
            </w:r>
            <w:r w:rsidRPr="001362AE">
              <w:rPr>
                <w:rFonts w:ascii="Calibri" w:hAnsi="Calibri" w:cs="Calibri"/>
                <w:noProof/>
                <w:sz w:val="18"/>
                <w:szCs w:val="18"/>
              </w:rPr>
              <w:t>) embryonic fibroblasts at -80 C</w:t>
            </w:r>
          </w:p>
        </w:tc>
        <w:tc>
          <w:tcPr>
            <w:tcW w:w="1456" w:type="dxa"/>
            <w:vMerge w:val="restart"/>
          </w:tcPr>
          <w:p w14:paraId="0B128DAF"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Chatham, Grace*</w:t>
            </w:r>
          </w:p>
        </w:tc>
        <w:tc>
          <w:tcPr>
            <w:tcW w:w="1809" w:type="dxa"/>
            <w:vMerge w:val="restart"/>
          </w:tcPr>
          <w:p w14:paraId="61D225E6"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5604D2A7"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8:30-8:45 AM</w:t>
            </w:r>
          </w:p>
        </w:tc>
      </w:tr>
      <w:tr w:rsidR="00AA3509" w:rsidRPr="00D03374" w14:paraId="601ADF01" w14:textId="77777777" w:rsidTr="007A13D5">
        <w:trPr>
          <w:trHeight w:val="424"/>
        </w:trPr>
        <w:tc>
          <w:tcPr>
            <w:tcW w:w="979" w:type="dxa"/>
            <w:vMerge/>
          </w:tcPr>
          <w:p w14:paraId="5F208172" w14:textId="77777777" w:rsidR="00AA3509" w:rsidRPr="00D03374" w:rsidRDefault="00AA3509" w:rsidP="007A13D5">
            <w:pPr>
              <w:rPr>
                <w:rFonts w:ascii="Calibri" w:hAnsi="Calibri" w:cs="Calibri"/>
                <w:sz w:val="18"/>
                <w:szCs w:val="18"/>
              </w:rPr>
            </w:pPr>
          </w:p>
        </w:tc>
        <w:tc>
          <w:tcPr>
            <w:tcW w:w="3311" w:type="dxa"/>
            <w:vMerge/>
          </w:tcPr>
          <w:p w14:paraId="7D12EB92" w14:textId="77777777" w:rsidR="00AA3509" w:rsidRPr="00D03374" w:rsidRDefault="00AA3509" w:rsidP="007A13D5">
            <w:pPr>
              <w:rPr>
                <w:rFonts w:ascii="Calibri" w:hAnsi="Calibri" w:cs="Calibri"/>
                <w:sz w:val="18"/>
                <w:szCs w:val="18"/>
              </w:rPr>
            </w:pPr>
          </w:p>
        </w:tc>
        <w:tc>
          <w:tcPr>
            <w:tcW w:w="1456" w:type="dxa"/>
            <w:vMerge/>
          </w:tcPr>
          <w:p w14:paraId="59E4353A" w14:textId="77777777" w:rsidR="00AA3509" w:rsidRPr="00D03374" w:rsidRDefault="00AA3509" w:rsidP="007A13D5">
            <w:pPr>
              <w:rPr>
                <w:rFonts w:ascii="Calibri" w:hAnsi="Calibri" w:cs="Calibri"/>
                <w:sz w:val="18"/>
                <w:szCs w:val="18"/>
              </w:rPr>
            </w:pPr>
          </w:p>
        </w:tc>
        <w:tc>
          <w:tcPr>
            <w:tcW w:w="1809" w:type="dxa"/>
            <w:vMerge/>
          </w:tcPr>
          <w:p w14:paraId="22DACF35" w14:textId="77777777" w:rsidR="00AA3509" w:rsidRPr="00D03374" w:rsidRDefault="00AA3509" w:rsidP="007A13D5">
            <w:pPr>
              <w:rPr>
                <w:rFonts w:ascii="Calibri" w:hAnsi="Calibri" w:cs="Calibri"/>
                <w:sz w:val="18"/>
                <w:szCs w:val="18"/>
              </w:rPr>
            </w:pPr>
          </w:p>
        </w:tc>
        <w:tc>
          <w:tcPr>
            <w:tcW w:w="1795" w:type="dxa"/>
          </w:tcPr>
          <w:p w14:paraId="3F4BF5A0"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KOBC 237</w:t>
            </w:r>
          </w:p>
        </w:tc>
      </w:tr>
      <w:tr w:rsidR="00AA3509" w:rsidRPr="00D03374" w14:paraId="71525F45" w14:textId="77777777" w:rsidTr="007A13D5">
        <w:trPr>
          <w:trHeight w:val="424"/>
        </w:trPr>
        <w:tc>
          <w:tcPr>
            <w:tcW w:w="979" w:type="dxa"/>
            <w:vMerge/>
          </w:tcPr>
          <w:p w14:paraId="01EA0814" w14:textId="77777777" w:rsidR="00AA3509" w:rsidRPr="00D03374" w:rsidRDefault="00AA3509" w:rsidP="007A13D5">
            <w:pPr>
              <w:rPr>
                <w:rFonts w:ascii="Calibri" w:hAnsi="Calibri" w:cs="Calibri"/>
                <w:sz w:val="18"/>
                <w:szCs w:val="18"/>
              </w:rPr>
            </w:pPr>
          </w:p>
        </w:tc>
        <w:tc>
          <w:tcPr>
            <w:tcW w:w="3311" w:type="dxa"/>
            <w:vMerge/>
          </w:tcPr>
          <w:p w14:paraId="0A448B29" w14:textId="77777777" w:rsidR="00AA3509" w:rsidRPr="00D03374" w:rsidRDefault="00AA3509" w:rsidP="007A13D5">
            <w:pPr>
              <w:rPr>
                <w:rFonts w:ascii="Calibri" w:hAnsi="Calibri" w:cs="Calibri"/>
                <w:sz w:val="18"/>
                <w:szCs w:val="18"/>
              </w:rPr>
            </w:pPr>
          </w:p>
        </w:tc>
        <w:tc>
          <w:tcPr>
            <w:tcW w:w="1456" w:type="dxa"/>
            <w:vMerge/>
          </w:tcPr>
          <w:p w14:paraId="029B579A" w14:textId="77777777" w:rsidR="00AA3509" w:rsidRPr="00D03374" w:rsidRDefault="00AA3509" w:rsidP="007A13D5">
            <w:pPr>
              <w:rPr>
                <w:rFonts w:ascii="Calibri" w:hAnsi="Calibri" w:cs="Calibri"/>
                <w:sz w:val="18"/>
                <w:szCs w:val="18"/>
              </w:rPr>
            </w:pPr>
          </w:p>
        </w:tc>
        <w:tc>
          <w:tcPr>
            <w:tcW w:w="1809" w:type="dxa"/>
            <w:vMerge/>
          </w:tcPr>
          <w:p w14:paraId="1C7C5FCB" w14:textId="77777777" w:rsidR="00AA3509" w:rsidRPr="00D03374" w:rsidRDefault="00AA3509" w:rsidP="007A13D5">
            <w:pPr>
              <w:rPr>
                <w:rFonts w:ascii="Calibri" w:hAnsi="Calibri" w:cs="Calibri"/>
                <w:sz w:val="18"/>
                <w:szCs w:val="18"/>
              </w:rPr>
            </w:pPr>
          </w:p>
        </w:tc>
        <w:tc>
          <w:tcPr>
            <w:tcW w:w="1795" w:type="dxa"/>
          </w:tcPr>
          <w:p w14:paraId="6A73A373"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Yes</w:t>
            </w:r>
          </w:p>
        </w:tc>
      </w:tr>
      <w:tr w:rsidR="00AA3509" w:rsidRPr="00D03374" w14:paraId="28412A02" w14:textId="77777777" w:rsidTr="007A13D5">
        <w:trPr>
          <w:trHeight w:val="425"/>
        </w:trPr>
        <w:tc>
          <w:tcPr>
            <w:tcW w:w="979" w:type="dxa"/>
            <w:vMerge w:val="restart"/>
          </w:tcPr>
          <w:p w14:paraId="001DDADF" w14:textId="77777777" w:rsidR="00AA3509" w:rsidRPr="00D03374" w:rsidRDefault="00AA3509"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6</w:t>
            </w:r>
          </w:p>
        </w:tc>
        <w:tc>
          <w:tcPr>
            <w:tcW w:w="3311" w:type="dxa"/>
            <w:vMerge w:val="restart"/>
          </w:tcPr>
          <w:p w14:paraId="146259C8"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Surface Functionalization on Microfluidic Chips for Macrophage–Fibroblast Communication Studies</w:t>
            </w:r>
          </w:p>
        </w:tc>
        <w:tc>
          <w:tcPr>
            <w:tcW w:w="1456" w:type="dxa"/>
            <w:vMerge w:val="restart"/>
          </w:tcPr>
          <w:p w14:paraId="1C1B0D0D"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Oreoluwa Alonge*, Harnish Shah, Tolulope Oyeniran, Samuel M.D. Oliveira</w:t>
            </w:r>
          </w:p>
        </w:tc>
        <w:tc>
          <w:tcPr>
            <w:tcW w:w="1809" w:type="dxa"/>
            <w:vMerge w:val="restart"/>
          </w:tcPr>
          <w:p w14:paraId="54D060D4"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Joint School of Nanoscience and Nanoengineering (JSNN), North Carolina Agricultural and Technical State University (NCAT)</w:t>
            </w:r>
          </w:p>
        </w:tc>
        <w:tc>
          <w:tcPr>
            <w:tcW w:w="1795" w:type="dxa"/>
          </w:tcPr>
          <w:p w14:paraId="591F7E67"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8:45-9:00 AM</w:t>
            </w:r>
          </w:p>
        </w:tc>
      </w:tr>
      <w:tr w:rsidR="00AA3509" w:rsidRPr="00D03374" w14:paraId="0E1386BA" w14:textId="77777777" w:rsidTr="007A13D5">
        <w:trPr>
          <w:trHeight w:val="424"/>
        </w:trPr>
        <w:tc>
          <w:tcPr>
            <w:tcW w:w="979" w:type="dxa"/>
            <w:vMerge/>
          </w:tcPr>
          <w:p w14:paraId="66F55A7A" w14:textId="77777777" w:rsidR="00AA3509" w:rsidRPr="00D03374" w:rsidRDefault="00AA3509" w:rsidP="007A13D5">
            <w:pPr>
              <w:rPr>
                <w:rFonts w:ascii="Calibri" w:hAnsi="Calibri" w:cs="Calibri"/>
                <w:sz w:val="18"/>
                <w:szCs w:val="18"/>
              </w:rPr>
            </w:pPr>
          </w:p>
        </w:tc>
        <w:tc>
          <w:tcPr>
            <w:tcW w:w="3311" w:type="dxa"/>
            <w:vMerge/>
          </w:tcPr>
          <w:p w14:paraId="6D9CECA9" w14:textId="77777777" w:rsidR="00AA3509" w:rsidRPr="00D03374" w:rsidRDefault="00AA3509" w:rsidP="007A13D5">
            <w:pPr>
              <w:rPr>
                <w:rFonts w:ascii="Calibri" w:hAnsi="Calibri" w:cs="Calibri"/>
                <w:sz w:val="18"/>
                <w:szCs w:val="18"/>
              </w:rPr>
            </w:pPr>
          </w:p>
        </w:tc>
        <w:tc>
          <w:tcPr>
            <w:tcW w:w="1456" w:type="dxa"/>
            <w:vMerge/>
          </w:tcPr>
          <w:p w14:paraId="382FF047" w14:textId="77777777" w:rsidR="00AA3509" w:rsidRPr="00D03374" w:rsidRDefault="00AA3509" w:rsidP="007A13D5">
            <w:pPr>
              <w:rPr>
                <w:rFonts w:ascii="Calibri" w:hAnsi="Calibri" w:cs="Calibri"/>
                <w:sz w:val="18"/>
                <w:szCs w:val="18"/>
              </w:rPr>
            </w:pPr>
          </w:p>
        </w:tc>
        <w:tc>
          <w:tcPr>
            <w:tcW w:w="1809" w:type="dxa"/>
            <w:vMerge/>
          </w:tcPr>
          <w:p w14:paraId="2221A864" w14:textId="77777777" w:rsidR="00AA3509" w:rsidRPr="00D03374" w:rsidRDefault="00AA3509" w:rsidP="007A13D5">
            <w:pPr>
              <w:rPr>
                <w:rFonts w:ascii="Calibri" w:hAnsi="Calibri" w:cs="Calibri"/>
                <w:sz w:val="18"/>
                <w:szCs w:val="18"/>
              </w:rPr>
            </w:pPr>
          </w:p>
        </w:tc>
        <w:tc>
          <w:tcPr>
            <w:tcW w:w="1795" w:type="dxa"/>
          </w:tcPr>
          <w:p w14:paraId="0045BA95"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KOBC 237</w:t>
            </w:r>
          </w:p>
        </w:tc>
      </w:tr>
      <w:tr w:rsidR="00AA3509" w:rsidRPr="00D03374" w14:paraId="67B7A067" w14:textId="77777777" w:rsidTr="007A13D5">
        <w:trPr>
          <w:trHeight w:val="424"/>
        </w:trPr>
        <w:tc>
          <w:tcPr>
            <w:tcW w:w="979" w:type="dxa"/>
            <w:vMerge/>
          </w:tcPr>
          <w:p w14:paraId="1E244193" w14:textId="77777777" w:rsidR="00AA3509" w:rsidRPr="00D03374" w:rsidRDefault="00AA3509" w:rsidP="007A13D5">
            <w:pPr>
              <w:rPr>
                <w:rFonts w:ascii="Calibri" w:hAnsi="Calibri" w:cs="Calibri"/>
                <w:sz w:val="18"/>
                <w:szCs w:val="18"/>
              </w:rPr>
            </w:pPr>
          </w:p>
        </w:tc>
        <w:tc>
          <w:tcPr>
            <w:tcW w:w="3311" w:type="dxa"/>
            <w:vMerge/>
          </w:tcPr>
          <w:p w14:paraId="6FF4687E" w14:textId="77777777" w:rsidR="00AA3509" w:rsidRPr="00D03374" w:rsidRDefault="00AA3509" w:rsidP="007A13D5">
            <w:pPr>
              <w:rPr>
                <w:rFonts w:ascii="Calibri" w:hAnsi="Calibri" w:cs="Calibri"/>
                <w:sz w:val="18"/>
                <w:szCs w:val="18"/>
              </w:rPr>
            </w:pPr>
          </w:p>
        </w:tc>
        <w:tc>
          <w:tcPr>
            <w:tcW w:w="1456" w:type="dxa"/>
            <w:vMerge/>
          </w:tcPr>
          <w:p w14:paraId="0E598FC1" w14:textId="77777777" w:rsidR="00AA3509" w:rsidRPr="00D03374" w:rsidRDefault="00AA3509" w:rsidP="007A13D5">
            <w:pPr>
              <w:rPr>
                <w:rFonts w:ascii="Calibri" w:hAnsi="Calibri" w:cs="Calibri"/>
                <w:sz w:val="18"/>
                <w:szCs w:val="18"/>
              </w:rPr>
            </w:pPr>
          </w:p>
        </w:tc>
        <w:tc>
          <w:tcPr>
            <w:tcW w:w="1809" w:type="dxa"/>
            <w:vMerge/>
          </w:tcPr>
          <w:p w14:paraId="1CEC9AD5" w14:textId="77777777" w:rsidR="00AA3509" w:rsidRPr="00D03374" w:rsidRDefault="00AA3509" w:rsidP="007A13D5">
            <w:pPr>
              <w:rPr>
                <w:rFonts w:ascii="Calibri" w:hAnsi="Calibri" w:cs="Calibri"/>
                <w:sz w:val="18"/>
                <w:szCs w:val="18"/>
              </w:rPr>
            </w:pPr>
          </w:p>
        </w:tc>
        <w:tc>
          <w:tcPr>
            <w:tcW w:w="1795" w:type="dxa"/>
          </w:tcPr>
          <w:p w14:paraId="3BFCAE4D"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No</w:t>
            </w:r>
          </w:p>
        </w:tc>
      </w:tr>
      <w:tr w:rsidR="00AA3509" w:rsidRPr="00D03374" w14:paraId="71EEFB05" w14:textId="77777777" w:rsidTr="007A13D5">
        <w:trPr>
          <w:trHeight w:val="425"/>
        </w:trPr>
        <w:tc>
          <w:tcPr>
            <w:tcW w:w="979" w:type="dxa"/>
            <w:vMerge w:val="restart"/>
          </w:tcPr>
          <w:p w14:paraId="34F3C293" w14:textId="77777777" w:rsidR="00834AC6" w:rsidRDefault="00834AC6" w:rsidP="007A13D5">
            <w:pPr>
              <w:rPr>
                <w:rFonts w:ascii="Calibri" w:hAnsi="Calibri" w:cs="Calibri"/>
                <w:noProof/>
                <w:sz w:val="18"/>
                <w:szCs w:val="18"/>
              </w:rPr>
            </w:pPr>
          </w:p>
          <w:p w14:paraId="43C3035F" w14:textId="77777777" w:rsidR="00834AC6" w:rsidRDefault="00834AC6" w:rsidP="007A13D5">
            <w:pPr>
              <w:rPr>
                <w:rFonts w:ascii="Calibri" w:hAnsi="Calibri" w:cs="Calibri"/>
                <w:noProof/>
                <w:sz w:val="18"/>
                <w:szCs w:val="18"/>
              </w:rPr>
            </w:pPr>
          </w:p>
          <w:p w14:paraId="0A9186DB" w14:textId="77777777" w:rsidR="00AA3509" w:rsidRPr="00D03374" w:rsidRDefault="00AA3509" w:rsidP="007A13D5">
            <w:pPr>
              <w:rPr>
                <w:rFonts w:ascii="Calibri" w:hAnsi="Calibri" w:cs="Calibri"/>
                <w:noProof/>
                <w:sz w:val="18"/>
                <w:szCs w:val="18"/>
              </w:rPr>
            </w:pPr>
            <w:r>
              <w:rPr>
                <w:rFonts w:ascii="Calibri" w:hAnsi="Calibri" w:cs="Calibri"/>
                <w:noProof/>
                <w:sz w:val="18"/>
                <w:szCs w:val="18"/>
              </w:rPr>
              <w:lastRenderedPageBreak/>
              <w:t>Oral-</w:t>
            </w:r>
            <w:r w:rsidRPr="001362AE">
              <w:rPr>
                <w:rFonts w:ascii="Calibri" w:hAnsi="Calibri" w:cs="Calibri"/>
                <w:noProof/>
                <w:sz w:val="18"/>
                <w:szCs w:val="18"/>
              </w:rPr>
              <w:t>1</w:t>
            </w:r>
            <w:r>
              <w:rPr>
                <w:rFonts w:ascii="Calibri" w:hAnsi="Calibri" w:cs="Calibri"/>
                <w:noProof/>
                <w:sz w:val="18"/>
                <w:szCs w:val="18"/>
              </w:rPr>
              <w:t>7</w:t>
            </w:r>
          </w:p>
        </w:tc>
        <w:tc>
          <w:tcPr>
            <w:tcW w:w="3311" w:type="dxa"/>
            <w:vMerge w:val="restart"/>
          </w:tcPr>
          <w:p w14:paraId="6BD94A4A" w14:textId="77777777" w:rsidR="00834AC6" w:rsidRDefault="00834AC6" w:rsidP="007A13D5">
            <w:pPr>
              <w:rPr>
                <w:rFonts w:ascii="Calibri" w:hAnsi="Calibri" w:cs="Calibri"/>
                <w:noProof/>
                <w:sz w:val="18"/>
                <w:szCs w:val="18"/>
              </w:rPr>
            </w:pPr>
          </w:p>
          <w:p w14:paraId="62B7D0CE" w14:textId="77777777" w:rsidR="00834AC6" w:rsidRDefault="00834AC6" w:rsidP="007A13D5">
            <w:pPr>
              <w:rPr>
                <w:rFonts w:ascii="Calibri" w:hAnsi="Calibri" w:cs="Calibri"/>
                <w:noProof/>
                <w:sz w:val="18"/>
                <w:szCs w:val="18"/>
              </w:rPr>
            </w:pPr>
          </w:p>
          <w:p w14:paraId="0BEF4791"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lastRenderedPageBreak/>
              <w:t>LifELONg Lung Health</w:t>
            </w:r>
          </w:p>
        </w:tc>
        <w:tc>
          <w:tcPr>
            <w:tcW w:w="1456" w:type="dxa"/>
            <w:vMerge w:val="restart"/>
          </w:tcPr>
          <w:p w14:paraId="5CBC65E6" w14:textId="77777777" w:rsidR="00834AC6" w:rsidRDefault="00834AC6" w:rsidP="007A13D5">
            <w:pPr>
              <w:rPr>
                <w:rFonts w:ascii="Calibri" w:hAnsi="Calibri" w:cs="Calibri"/>
                <w:noProof/>
                <w:sz w:val="18"/>
                <w:szCs w:val="18"/>
              </w:rPr>
            </w:pPr>
          </w:p>
          <w:p w14:paraId="75994E81"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lastRenderedPageBreak/>
              <w:t>Wright, Emily*, Irizarry, Jackson*, Darfour-Oduro, Sandra</w:t>
            </w:r>
          </w:p>
        </w:tc>
        <w:tc>
          <w:tcPr>
            <w:tcW w:w="1809" w:type="dxa"/>
            <w:vMerge w:val="restart"/>
          </w:tcPr>
          <w:p w14:paraId="5113A53B" w14:textId="77777777" w:rsidR="00834AC6" w:rsidRDefault="00834AC6" w:rsidP="007A13D5">
            <w:pPr>
              <w:rPr>
                <w:rFonts w:ascii="Calibri" w:hAnsi="Calibri" w:cs="Calibri"/>
                <w:noProof/>
                <w:sz w:val="18"/>
                <w:szCs w:val="18"/>
              </w:rPr>
            </w:pPr>
          </w:p>
          <w:p w14:paraId="63008F8E" w14:textId="77777777" w:rsidR="00834AC6" w:rsidRDefault="00834AC6" w:rsidP="007A13D5">
            <w:pPr>
              <w:rPr>
                <w:rFonts w:ascii="Calibri" w:hAnsi="Calibri" w:cs="Calibri"/>
                <w:noProof/>
                <w:sz w:val="18"/>
                <w:szCs w:val="18"/>
              </w:rPr>
            </w:pPr>
          </w:p>
          <w:p w14:paraId="156599FC"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lastRenderedPageBreak/>
              <w:t>Elon University</w:t>
            </w:r>
          </w:p>
        </w:tc>
        <w:tc>
          <w:tcPr>
            <w:tcW w:w="1795" w:type="dxa"/>
          </w:tcPr>
          <w:p w14:paraId="6E6DC9BF" w14:textId="77777777" w:rsidR="00834AC6" w:rsidRDefault="00834AC6" w:rsidP="007A13D5">
            <w:pPr>
              <w:rPr>
                <w:rFonts w:ascii="Calibri" w:hAnsi="Calibri" w:cs="Calibri"/>
                <w:noProof/>
                <w:sz w:val="18"/>
                <w:szCs w:val="18"/>
              </w:rPr>
            </w:pPr>
          </w:p>
          <w:p w14:paraId="5F57F527" w14:textId="77777777" w:rsidR="00834AC6" w:rsidRDefault="00834AC6" w:rsidP="007A13D5">
            <w:pPr>
              <w:rPr>
                <w:rFonts w:ascii="Calibri" w:hAnsi="Calibri" w:cs="Calibri"/>
                <w:noProof/>
                <w:sz w:val="18"/>
                <w:szCs w:val="18"/>
              </w:rPr>
            </w:pPr>
          </w:p>
          <w:p w14:paraId="75D11A68"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lastRenderedPageBreak/>
              <w:t>9:00-9:15 AM</w:t>
            </w:r>
          </w:p>
        </w:tc>
      </w:tr>
      <w:tr w:rsidR="00AA3509" w:rsidRPr="00D03374" w14:paraId="66476284" w14:textId="77777777" w:rsidTr="007A13D5">
        <w:trPr>
          <w:trHeight w:val="424"/>
        </w:trPr>
        <w:tc>
          <w:tcPr>
            <w:tcW w:w="979" w:type="dxa"/>
            <w:vMerge/>
          </w:tcPr>
          <w:p w14:paraId="7820D6BD" w14:textId="77777777" w:rsidR="00AA3509" w:rsidRPr="00D03374" w:rsidRDefault="00AA3509" w:rsidP="007A13D5">
            <w:pPr>
              <w:rPr>
                <w:rFonts w:ascii="Calibri" w:hAnsi="Calibri" w:cs="Calibri"/>
                <w:sz w:val="18"/>
                <w:szCs w:val="18"/>
              </w:rPr>
            </w:pPr>
          </w:p>
        </w:tc>
        <w:tc>
          <w:tcPr>
            <w:tcW w:w="3311" w:type="dxa"/>
            <w:vMerge/>
          </w:tcPr>
          <w:p w14:paraId="1EDB0E78" w14:textId="77777777" w:rsidR="00AA3509" w:rsidRPr="00D03374" w:rsidRDefault="00AA3509" w:rsidP="007A13D5">
            <w:pPr>
              <w:rPr>
                <w:rFonts w:ascii="Calibri" w:hAnsi="Calibri" w:cs="Calibri"/>
                <w:sz w:val="18"/>
                <w:szCs w:val="18"/>
              </w:rPr>
            </w:pPr>
          </w:p>
        </w:tc>
        <w:tc>
          <w:tcPr>
            <w:tcW w:w="1456" w:type="dxa"/>
            <w:vMerge/>
          </w:tcPr>
          <w:p w14:paraId="54C6C42B" w14:textId="77777777" w:rsidR="00AA3509" w:rsidRPr="00D03374" w:rsidRDefault="00AA3509" w:rsidP="007A13D5">
            <w:pPr>
              <w:rPr>
                <w:rFonts w:ascii="Calibri" w:hAnsi="Calibri" w:cs="Calibri"/>
                <w:sz w:val="18"/>
                <w:szCs w:val="18"/>
              </w:rPr>
            </w:pPr>
          </w:p>
        </w:tc>
        <w:tc>
          <w:tcPr>
            <w:tcW w:w="1809" w:type="dxa"/>
            <w:vMerge/>
          </w:tcPr>
          <w:p w14:paraId="686096C3" w14:textId="77777777" w:rsidR="00AA3509" w:rsidRPr="00D03374" w:rsidRDefault="00AA3509" w:rsidP="007A13D5">
            <w:pPr>
              <w:rPr>
                <w:rFonts w:ascii="Calibri" w:hAnsi="Calibri" w:cs="Calibri"/>
                <w:sz w:val="18"/>
                <w:szCs w:val="18"/>
              </w:rPr>
            </w:pPr>
          </w:p>
        </w:tc>
        <w:tc>
          <w:tcPr>
            <w:tcW w:w="1795" w:type="dxa"/>
          </w:tcPr>
          <w:p w14:paraId="5C849B51"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KOBC 237</w:t>
            </w:r>
          </w:p>
        </w:tc>
      </w:tr>
      <w:tr w:rsidR="00AA3509" w:rsidRPr="00D03374" w14:paraId="1F6E12A7" w14:textId="77777777" w:rsidTr="007A13D5">
        <w:trPr>
          <w:trHeight w:val="424"/>
        </w:trPr>
        <w:tc>
          <w:tcPr>
            <w:tcW w:w="979" w:type="dxa"/>
            <w:vMerge/>
          </w:tcPr>
          <w:p w14:paraId="5B9B57F7" w14:textId="77777777" w:rsidR="00AA3509" w:rsidRPr="00D03374" w:rsidRDefault="00AA3509" w:rsidP="007A13D5">
            <w:pPr>
              <w:rPr>
                <w:rFonts w:ascii="Calibri" w:hAnsi="Calibri" w:cs="Calibri"/>
                <w:sz w:val="18"/>
                <w:szCs w:val="18"/>
              </w:rPr>
            </w:pPr>
          </w:p>
        </w:tc>
        <w:tc>
          <w:tcPr>
            <w:tcW w:w="3311" w:type="dxa"/>
            <w:vMerge/>
          </w:tcPr>
          <w:p w14:paraId="718A7BCA" w14:textId="77777777" w:rsidR="00AA3509" w:rsidRPr="00D03374" w:rsidRDefault="00AA3509" w:rsidP="007A13D5">
            <w:pPr>
              <w:rPr>
                <w:rFonts w:ascii="Calibri" w:hAnsi="Calibri" w:cs="Calibri"/>
                <w:sz w:val="18"/>
                <w:szCs w:val="18"/>
              </w:rPr>
            </w:pPr>
          </w:p>
        </w:tc>
        <w:tc>
          <w:tcPr>
            <w:tcW w:w="1456" w:type="dxa"/>
            <w:vMerge/>
          </w:tcPr>
          <w:p w14:paraId="68BBE526" w14:textId="77777777" w:rsidR="00AA3509" w:rsidRPr="00D03374" w:rsidRDefault="00AA3509" w:rsidP="007A13D5">
            <w:pPr>
              <w:rPr>
                <w:rFonts w:ascii="Calibri" w:hAnsi="Calibri" w:cs="Calibri"/>
                <w:sz w:val="18"/>
                <w:szCs w:val="18"/>
              </w:rPr>
            </w:pPr>
          </w:p>
        </w:tc>
        <w:tc>
          <w:tcPr>
            <w:tcW w:w="1809" w:type="dxa"/>
            <w:vMerge/>
          </w:tcPr>
          <w:p w14:paraId="0B52CAE2" w14:textId="77777777" w:rsidR="00AA3509" w:rsidRPr="00D03374" w:rsidRDefault="00AA3509" w:rsidP="007A13D5">
            <w:pPr>
              <w:rPr>
                <w:rFonts w:ascii="Calibri" w:hAnsi="Calibri" w:cs="Calibri"/>
                <w:sz w:val="18"/>
                <w:szCs w:val="18"/>
              </w:rPr>
            </w:pPr>
          </w:p>
        </w:tc>
        <w:tc>
          <w:tcPr>
            <w:tcW w:w="1795" w:type="dxa"/>
          </w:tcPr>
          <w:p w14:paraId="023DFF0C"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Yes</w:t>
            </w:r>
          </w:p>
        </w:tc>
      </w:tr>
      <w:tr w:rsidR="00AA3509" w:rsidRPr="00D03374" w14:paraId="62B9BDD3" w14:textId="77777777" w:rsidTr="007A13D5">
        <w:trPr>
          <w:trHeight w:val="425"/>
        </w:trPr>
        <w:tc>
          <w:tcPr>
            <w:tcW w:w="979" w:type="dxa"/>
            <w:vMerge w:val="restart"/>
          </w:tcPr>
          <w:p w14:paraId="5CCE5959" w14:textId="77777777" w:rsidR="00AA3509" w:rsidRPr="00D03374" w:rsidRDefault="00AA3509"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1</w:t>
            </w:r>
            <w:r>
              <w:rPr>
                <w:rFonts w:ascii="Calibri" w:hAnsi="Calibri" w:cs="Calibri"/>
                <w:noProof/>
                <w:sz w:val="18"/>
                <w:szCs w:val="18"/>
              </w:rPr>
              <w:t>8</w:t>
            </w:r>
          </w:p>
        </w:tc>
        <w:tc>
          <w:tcPr>
            <w:tcW w:w="3311" w:type="dxa"/>
            <w:vMerge w:val="restart"/>
          </w:tcPr>
          <w:p w14:paraId="7346A384"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Exploring respiratory health among Syrian refugees in Za'atari and Azraq camps</w:t>
            </w:r>
          </w:p>
        </w:tc>
        <w:tc>
          <w:tcPr>
            <w:tcW w:w="1456" w:type="dxa"/>
            <w:vMerge w:val="restart"/>
          </w:tcPr>
          <w:p w14:paraId="77FBE647"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Abousaab, Maya*</w:t>
            </w:r>
          </w:p>
        </w:tc>
        <w:tc>
          <w:tcPr>
            <w:tcW w:w="1809" w:type="dxa"/>
            <w:vMerge w:val="restart"/>
          </w:tcPr>
          <w:p w14:paraId="15BE1E38"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3999F787"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9:15-9:30 AM</w:t>
            </w:r>
          </w:p>
        </w:tc>
      </w:tr>
      <w:tr w:rsidR="00AA3509" w:rsidRPr="00D03374" w14:paraId="02C11019" w14:textId="77777777" w:rsidTr="007A13D5">
        <w:trPr>
          <w:trHeight w:val="424"/>
        </w:trPr>
        <w:tc>
          <w:tcPr>
            <w:tcW w:w="979" w:type="dxa"/>
            <w:vMerge/>
          </w:tcPr>
          <w:p w14:paraId="0AB421F2" w14:textId="77777777" w:rsidR="00AA3509" w:rsidRPr="00D03374" w:rsidRDefault="00AA3509" w:rsidP="007A13D5">
            <w:pPr>
              <w:rPr>
                <w:rFonts w:ascii="Calibri" w:hAnsi="Calibri" w:cs="Calibri"/>
                <w:sz w:val="18"/>
                <w:szCs w:val="18"/>
              </w:rPr>
            </w:pPr>
          </w:p>
        </w:tc>
        <w:tc>
          <w:tcPr>
            <w:tcW w:w="3311" w:type="dxa"/>
            <w:vMerge/>
          </w:tcPr>
          <w:p w14:paraId="3B86EFAB" w14:textId="77777777" w:rsidR="00AA3509" w:rsidRPr="00D03374" w:rsidRDefault="00AA3509" w:rsidP="007A13D5">
            <w:pPr>
              <w:rPr>
                <w:rFonts w:ascii="Calibri" w:hAnsi="Calibri" w:cs="Calibri"/>
                <w:sz w:val="18"/>
                <w:szCs w:val="18"/>
              </w:rPr>
            </w:pPr>
          </w:p>
        </w:tc>
        <w:tc>
          <w:tcPr>
            <w:tcW w:w="1456" w:type="dxa"/>
            <w:vMerge/>
          </w:tcPr>
          <w:p w14:paraId="42A55A26" w14:textId="77777777" w:rsidR="00AA3509" w:rsidRPr="00D03374" w:rsidRDefault="00AA3509" w:rsidP="007A13D5">
            <w:pPr>
              <w:rPr>
                <w:rFonts w:ascii="Calibri" w:hAnsi="Calibri" w:cs="Calibri"/>
                <w:sz w:val="18"/>
                <w:szCs w:val="18"/>
              </w:rPr>
            </w:pPr>
          </w:p>
        </w:tc>
        <w:tc>
          <w:tcPr>
            <w:tcW w:w="1809" w:type="dxa"/>
            <w:vMerge/>
          </w:tcPr>
          <w:p w14:paraId="5C803447" w14:textId="77777777" w:rsidR="00AA3509" w:rsidRPr="00D03374" w:rsidRDefault="00AA3509" w:rsidP="007A13D5">
            <w:pPr>
              <w:rPr>
                <w:rFonts w:ascii="Calibri" w:hAnsi="Calibri" w:cs="Calibri"/>
                <w:sz w:val="18"/>
                <w:szCs w:val="18"/>
              </w:rPr>
            </w:pPr>
          </w:p>
        </w:tc>
        <w:tc>
          <w:tcPr>
            <w:tcW w:w="1795" w:type="dxa"/>
          </w:tcPr>
          <w:p w14:paraId="3D6264C8"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KOBC 237</w:t>
            </w:r>
          </w:p>
        </w:tc>
      </w:tr>
      <w:tr w:rsidR="00AA3509" w:rsidRPr="00D03374" w14:paraId="48F2F6D3" w14:textId="77777777" w:rsidTr="007A13D5">
        <w:trPr>
          <w:trHeight w:val="424"/>
        </w:trPr>
        <w:tc>
          <w:tcPr>
            <w:tcW w:w="979" w:type="dxa"/>
            <w:vMerge/>
          </w:tcPr>
          <w:p w14:paraId="43932E7A" w14:textId="77777777" w:rsidR="00AA3509" w:rsidRPr="00D03374" w:rsidRDefault="00AA3509" w:rsidP="007A13D5">
            <w:pPr>
              <w:rPr>
                <w:rFonts w:ascii="Calibri" w:hAnsi="Calibri" w:cs="Calibri"/>
                <w:sz w:val="18"/>
                <w:szCs w:val="18"/>
              </w:rPr>
            </w:pPr>
          </w:p>
        </w:tc>
        <w:tc>
          <w:tcPr>
            <w:tcW w:w="3311" w:type="dxa"/>
            <w:vMerge/>
          </w:tcPr>
          <w:p w14:paraId="006ADC49" w14:textId="77777777" w:rsidR="00AA3509" w:rsidRPr="00D03374" w:rsidRDefault="00AA3509" w:rsidP="007A13D5">
            <w:pPr>
              <w:rPr>
                <w:rFonts w:ascii="Calibri" w:hAnsi="Calibri" w:cs="Calibri"/>
                <w:sz w:val="18"/>
                <w:szCs w:val="18"/>
              </w:rPr>
            </w:pPr>
          </w:p>
        </w:tc>
        <w:tc>
          <w:tcPr>
            <w:tcW w:w="1456" w:type="dxa"/>
            <w:vMerge/>
          </w:tcPr>
          <w:p w14:paraId="1E919E75" w14:textId="77777777" w:rsidR="00AA3509" w:rsidRPr="00D03374" w:rsidRDefault="00AA3509" w:rsidP="007A13D5">
            <w:pPr>
              <w:rPr>
                <w:rFonts w:ascii="Calibri" w:hAnsi="Calibri" w:cs="Calibri"/>
                <w:sz w:val="18"/>
                <w:szCs w:val="18"/>
              </w:rPr>
            </w:pPr>
          </w:p>
        </w:tc>
        <w:tc>
          <w:tcPr>
            <w:tcW w:w="1809" w:type="dxa"/>
            <w:vMerge/>
          </w:tcPr>
          <w:p w14:paraId="5378C259" w14:textId="77777777" w:rsidR="00AA3509" w:rsidRPr="00D03374" w:rsidRDefault="00AA3509" w:rsidP="007A13D5">
            <w:pPr>
              <w:rPr>
                <w:rFonts w:ascii="Calibri" w:hAnsi="Calibri" w:cs="Calibri"/>
                <w:sz w:val="18"/>
                <w:szCs w:val="18"/>
              </w:rPr>
            </w:pPr>
          </w:p>
        </w:tc>
        <w:tc>
          <w:tcPr>
            <w:tcW w:w="1795" w:type="dxa"/>
          </w:tcPr>
          <w:p w14:paraId="5AC4BF7D"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Yes</w:t>
            </w:r>
          </w:p>
        </w:tc>
      </w:tr>
      <w:tr w:rsidR="00AA3509" w:rsidRPr="00D03374" w14:paraId="0BF70390" w14:textId="77777777" w:rsidTr="007A13D5">
        <w:trPr>
          <w:trHeight w:val="425"/>
        </w:trPr>
        <w:tc>
          <w:tcPr>
            <w:tcW w:w="979" w:type="dxa"/>
            <w:vMerge w:val="restart"/>
          </w:tcPr>
          <w:p w14:paraId="2BF3E361" w14:textId="77777777" w:rsidR="00AA3509" w:rsidRPr="00D03374" w:rsidRDefault="00AA3509" w:rsidP="007A13D5">
            <w:pPr>
              <w:rPr>
                <w:rFonts w:ascii="Calibri" w:hAnsi="Calibri" w:cs="Calibri"/>
                <w:noProof/>
                <w:sz w:val="18"/>
                <w:szCs w:val="18"/>
              </w:rPr>
            </w:pPr>
            <w:r>
              <w:rPr>
                <w:rFonts w:ascii="Calibri" w:hAnsi="Calibri" w:cs="Calibri"/>
                <w:noProof/>
                <w:sz w:val="18"/>
                <w:szCs w:val="18"/>
              </w:rPr>
              <w:t>Oral-19</w:t>
            </w:r>
          </w:p>
        </w:tc>
        <w:tc>
          <w:tcPr>
            <w:tcW w:w="3311" w:type="dxa"/>
            <w:vMerge w:val="restart"/>
          </w:tcPr>
          <w:p w14:paraId="4666DB33"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Quantification of Mitragynine in Maeng Da and Borneo Kratom Strains: Analysis of Kratom Leaf Color and Strain using a GC-MS and GC-FID</w:t>
            </w:r>
          </w:p>
        </w:tc>
        <w:tc>
          <w:tcPr>
            <w:tcW w:w="1456" w:type="dxa"/>
            <w:vMerge w:val="restart"/>
          </w:tcPr>
          <w:p w14:paraId="72F420FF"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Corwin, Lindsey*, Andy Steele</w:t>
            </w:r>
          </w:p>
        </w:tc>
        <w:tc>
          <w:tcPr>
            <w:tcW w:w="1809" w:type="dxa"/>
            <w:vMerge w:val="restart"/>
          </w:tcPr>
          <w:p w14:paraId="1AA2BEF1"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Lenior-Rhyne University</w:t>
            </w:r>
          </w:p>
        </w:tc>
        <w:tc>
          <w:tcPr>
            <w:tcW w:w="1795" w:type="dxa"/>
          </w:tcPr>
          <w:p w14:paraId="7083D108"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9:30-9:45 AM</w:t>
            </w:r>
          </w:p>
        </w:tc>
      </w:tr>
      <w:tr w:rsidR="00AA3509" w:rsidRPr="00D03374" w14:paraId="028275F3" w14:textId="77777777" w:rsidTr="007A13D5">
        <w:trPr>
          <w:trHeight w:val="424"/>
        </w:trPr>
        <w:tc>
          <w:tcPr>
            <w:tcW w:w="979" w:type="dxa"/>
            <w:vMerge/>
          </w:tcPr>
          <w:p w14:paraId="1E507545" w14:textId="77777777" w:rsidR="00AA3509" w:rsidRPr="00D03374" w:rsidRDefault="00AA3509" w:rsidP="007A13D5">
            <w:pPr>
              <w:rPr>
                <w:rFonts w:ascii="Calibri" w:hAnsi="Calibri" w:cs="Calibri"/>
                <w:sz w:val="18"/>
                <w:szCs w:val="18"/>
              </w:rPr>
            </w:pPr>
          </w:p>
        </w:tc>
        <w:tc>
          <w:tcPr>
            <w:tcW w:w="3311" w:type="dxa"/>
            <w:vMerge/>
          </w:tcPr>
          <w:p w14:paraId="0FAF9643" w14:textId="77777777" w:rsidR="00AA3509" w:rsidRPr="00D03374" w:rsidRDefault="00AA3509" w:rsidP="007A13D5">
            <w:pPr>
              <w:rPr>
                <w:rFonts w:ascii="Calibri" w:hAnsi="Calibri" w:cs="Calibri"/>
                <w:sz w:val="18"/>
                <w:szCs w:val="18"/>
              </w:rPr>
            </w:pPr>
          </w:p>
        </w:tc>
        <w:tc>
          <w:tcPr>
            <w:tcW w:w="1456" w:type="dxa"/>
            <w:vMerge/>
          </w:tcPr>
          <w:p w14:paraId="5E2432AC" w14:textId="77777777" w:rsidR="00AA3509" w:rsidRPr="00D03374" w:rsidRDefault="00AA3509" w:rsidP="007A13D5">
            <w:pPr>
              <w:rPr>
                <w:rFonts w:ascii="Calibri" w:hAnsi="Calibri" w:cs="Calibri"/>
                <w:sz w:val="18"/>
                <w:szCs w:val="18"/>
              </w:rPr>
            </w:pPr>
          </w:p>
        </w:tc>
        <w:tc>
          <w:tcPr>
            <w:tcW w:w="1809" w:type="dxa"/>
            <w:vMerge/>
          </w:tcPr>
          <w:p w14:paraId="2DB8E260" w14:textId="77777777" w:rsidR="00AA3509" w:rsidRPr="00D03374" w:rsidRDefault="00AA3509" w:rsidP="007A13D5">
            <w:pPr>
              <w:rPr>
                <w:rFonts w:ascii="Calibri" w:hAnsi="Calibri" w:cs="Calibri"/>
                <w:sz w:val="18"/>
                <w:szCs w:val="18"/>
              </w:rPr>
            </w:pPr>
          </w:p>
        </w:tc>
        <w:tc>
          <w:tcPr>
            <w:tcW w:w="1795" w:type="dxa"/>
          </w:tcPr>
          <w:p w14:paraId="28D15A50"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KOBC 237</w:t>
            </w:r>
          </w:p>
        </w:tc>
      </w:tr>
      <w:tr w:rsidR="00AA3509" w:rsidRPr="00D03374" w14:paraId="7ED35DF9" w14:textId="77777777" w:rsidTr="007A13D5">
        <w:trPr>
          <w:trHeight w:val="424"/>
        </w:trPr>
        <w:tc>
          <w:tcPr>
            <w:tcW w:w="979" w:type="dxa"/>
            <w:vMerge/>
          </w:tcPr>
          <w:p w14:paraId="61F3984F" w14:textId="77777777" w:rsidR="00AA3509" w:rsidRPr="00D03374" w:rsidRDefault="00AA3509" w:rsidP="007A13D5">
            <w:pPr>
              <w:rPr>
                <w:rFonts w:ascii="Calibri" w:hAnsi="Calibri" w:cs="Calibri"/>
                <w:sz w:val="18"/>
                <w:szCs w:val="18"/>
              </w:rPr>
            </w:pPr>
          </w:p>
        </w:tc>
        <w:tc>
          <w:tcPr>
            <w:tcW w:w="3311" w:type="dxa"/>
            <w:vMerge/>
          </w:tcPr>
          <w:p w14:paraId="5926EEE9" w14:textId="77777777" w:rsidR="00AA3509" w:rsidRPr="00D03374" w:rsidRDefault="00AA3509" w:rsidP="007A13D5">
            <w:pPr>
              <w:rPr>
                <w:rFonts w:ascii="Calibri" w:hAnsi="Calibri" w:cs="Calibri"/>
                <w:sz w:val="18"/>
                <w:szCs w:val="18"/>
              </w:rPr>
            </w:pPr>
          </w:p>
        </w:tc>
        <w:tc>
          <w:tcPr>
            <w:tcW w:w="1456" w:type="dxa"/>
            <w:vMerge/>
          </w:tcPr>
          <w:p w14:paraId="45A833D1" w14:textId="77777777" w:rsidR="00AA3509" w:rsidRPr="00D03374" w:rsidRDefault="00AA3509" w:rsidP="007A13D5">
            <w:pPr>
              <w:rPr>
                <w:rFonts w:ascii="Calibri" w:hAnsi="Calibri" w:cs="Calibri"/>
                <w:sz w:val="18"/>
                <w:szCs w:val="18"/>
              </w:rPr>
            </w:pPr>
          </w:p>
        </w:tc>
        <w:tc>
          <w:tcPr>
            <w:tcW w:w="1809" w:type="dxa"/>
            <w:vMerge/>
          </w:tcPr>
          <w:p w14:paraId="60D8A43A" w14:textId="77777777" w:rsidR="00AA3509" w:rsidRPr="00D03374" w:rsidRDefault="00AA3509" w:rsidP="007A13D5">
            <w:pPr>
              <w:rPr>
                <w:rFonts w:ascii="Calibri" w:hAnsi="Calibri" w:cs="Calibri"/>
                <w:sz w:val="18"/>
                <w:szCs w:val="18"/>
              </w:rPr>
            </w:pPr>
          </w:p>
        </w:tc>
        <w:tc>
          <w:tcPr>
            <w:tcW w:w="1795" w:type="dxa"/>
          </w:tcPr>
          <w:p w14:paraId="722133F6" w14:textId="77777777" w:rsidR="00AA3509" w:rsidRPr="00D03374" w:rsidRDefault="00AA3509" w:rsidP="007A13D5">
            <w:pPr>
              <w:rPr>
                <w:rFonts w:ascii="Calibri" w:hAnsi="Calibri" w:cs="Calibri"/>
                <w:sz w:val="18"/>
                <w:szCs w:val="18"/>
              </w:rPr>
            </w:pPr>
            <w:r w:rsidRPr="001362AE">
              <w:rPr>
                <w:rFonts w:ascii="Calibri" w:hAnsi="Calibri" w:cs="Calibri"/>
                <w:noProof/>
                <w:sz w:val="18"/>
                <w:szCs w:val="18"/>
              </w:rPr>
              <w:t>Yes</w:t>
            </w:r>
          </w:p>
        </w:tc>
      </w:tr>
    </w:tbl>
    <w:p w14:paraId="1B9A0328" w14:textId="77777777" w:rsidR="002114D5" w:rsidRPr="00B051AC"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tbl>
      <w:tblPr>
        <w:tblStyle w:val="TableGridLight"/>
        <w:tblW w:w="9350" w:type="dxa"/>
        <w:tblLook w:val="04A0" w:firstRow="1" w:lastRow="0" w:firstColumn="1" w:lastColumn="0" w:noHBand="0" w:noVBand="1"/>
      </w:tblPr>
      <w:tblGrid>
        <w:gridCol w:w="979"/>
        <w:gridCol w:w="3311"/>
        <w:gridCol w:w="1456"/>
        <w:gridCol w:w="1809"/>
        <w:gridCol w:w="1795"/>
      </w:tblGrid>
      <w:tr w:rsidR="00395DDE" w:rsidRPr="00D03374" w14:paraId="0440DE92" w14:textId="77777777" w:rsidTr="007A13D5">
        <w:trPr>
          <w:trHeight w:val="425"/>
        </w:trPr>
        <w:tc>
          <w:tcPr>
            <w:tcW w:w="9350" w:type="dxa"/>
            <w:gridSpan w:val="5"/>
            <w:shd w:val="clear" w:color="auto" w:fill="A5C9EB" w:themeFill="text2" w:themeFillTint="40"/>
          </w:tcPr>
          <w:p w14:paraId="3C4027BA" w14:textId="0AA1E664" w:rsidR="00395DDE" w:rsidRPr="00340E15" w:rsidRDefault="00395DDE" w:rsidP="007A13D5">
            <w:pPr>
              <w:rPr>
                <w:rFonts w:ascii="Calibri" w:hAnsi="Calibri" w:cs="Calibri"/>
                <w:noProof/>
                <w:sz w:val="28"/>
                <w:szCs w:val="28"/>
              </w:rPr>
            </w:pPr>
            <w:r w:rsidRPr="001362AE">
              <w:rPr>
                <w:rFonts w:ascii="Calibri" w:hAnsi="Calibri" w:cs="Calibri"/>
                <w:noProof/>
                <w:sz w:val="28"/>
                <w:szCs w:val="28"/>
              </w:rPr>
              <w:t xml:space="preserve">Oral Session </w:t>
            </w:r>
            <w:r w:rsidR="00C6364B">
              <w:rPr>
                <w:rFonts w:ascii="Calibri" w:hAnsi="Calibri" w:cs="Calibri"/>
                <w:noProof/>
                <w:sz w:val="28"/>
                <w:szCs w:val="28"/>
              </w:rPr>
              <w:t>2A</w:t>
            </w:r>
            <w:r w:rsidRPr="00340E15">
              <w:rPr>
                <w:rFonts w:ascii="Calibri" w:hAnsi="Calibri" w:cs="Calibri"/>
                <w:noProof/>
                <w:sz w:val="28"/>
                <w:szCs w:val="28"/>
              </w:rPr>
              <w:t>--KOBC 200</w:t>
            </w:r>
          </w:p>
        </w:tc>
      </w:tr>
      <w:tr w:rsidR="00395DDE" w:rsidRPr="00D03374" w14:paraId="734C24D7"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47A72BE7" w14:textId="77777777" w:rsidR="00395DDE" w:rsidRPr="00340E15" w:rsidRDefault="00395DDE" w:rsidP="007A13D5">
            <w:pPr>
              <w:rPr>
                <w:rFonts w:ascii="Calibri" w:hAnsi="Calibri" w:cs="Calibri"/>
                <w:noProof/>
                <w:sz w:val="22"/>
                <w:szCs w:val="22"/>
              </w:rPr>
            </w:pPr>
            <w:r w:rsidRPr="00340E15">
              <w:rPr>
                <w:rFonts w:ascii="Calibri" w:hAnsi="Calibri" w:cs="Calibri"/>
                <w:noProof/>
                <w:sz w:val="22"/>
                <w:szCs w:val="22"/>
              </w:rPr>
              <w:t xml:space="preserve">Section:  </w:t>
            </w:r>
            <w:bookmarkStart w:id="19" w:name="OralPresentationMicroCellMolecBio2"/>
            <w:r w:rsidRPr="001362AE">
              <w:rPr>
                <w:rFonts w:ascii="Calibri" w:hAnsi="Calibri" w:cs="Calibri"/>
                <w:noProof/>
                <w:sz w:val="22"/>
                <w:szCs w:val="22"/>
              </w:rPr>
              <w:t>Microbiology, Cell Biology, Molecular Biology II</w:t>
            </w:r>
            <w:bookmarkEnd w:id="19"/>
          </w:p>
        </w:tc>
      </w:tr>
      <w:tr w:rsidR="00395DDE" w:rsidRPr="00D03374" w14:paraId="6D8383AD" w14:textId="77777777" w:rsidTr="007A13D5">
        <w:trPr>
          <w:trHeight w:hRule="exact" w:val="288"/>
        </w:trPr>
        <w:tc>
          <w:tcPr>
            <w:tcW w:w="979" w:type="dxa"/>
            <w:shd w:val="clear" w:color="auto" w:fill="D9F2D0" w:themeFill="accent6" w:themeFillTint="33"/>
          </w:tcPr>
          <w:p w14:paraId="4B2E49D6" w14:textId="77777777" w:rsidR="00395DDE" w:rsidRDefault="00395DDE" w:rsidP="007A13D5">
            <w:pPr>
              <w:rPr>
                <w:rFonts w:ascii="Calibri" w:hAnsi="Calibri" w:cs="Calibri"/>
                <w:noProof/>
                <w:sz w:val="18"/>
                <w:szCs w:val="18"/>
              </w:rPr>
            </w:pPr>
            <w:r>
              <w:rPr>
                <w:rFonts w:ascii="Calibri" w:hAnsi="Calibri" w:cs="Calibri"/>
                <w:noProof/>
                <w:sz w:val="18"/>
                <w:szCs w:val="18"/>
              </w:rPr>
              <w:t>Abstract #</w:t>
            </w:r>
          </w:p>
          <w:p w14:paraId="49D368CA" w14:textId="77777777" w:rsidR="00395DDE" w:rsidRDefault="00395DDE" w:rsidP="007A13D5">
            <w:pPr>
              <w:rPr>
                <w:rFonts w:ascii="Calibri" w:hAnsi="Calibri" w:cs="Calibri"/>
                <w:noProof/>
                <w:sz w:val="18"/>
                <w:szCs w:val="18"/>
              </w:rPr>
            </w:pPr>
          </w:p>
        </w:tc>
        <w:tc>
          <w:tcPr>
            <w:tcW w:w="3311" w:type="dxa"/>
            <w:shd w:val="clear" w:color="auto" w:fill="D9F2D0" w:themeFill="accent6" w:themeFillTint="33"/>
          </w:tcPr>
          <w:p w14:paraId="4E67E340" w14:textId="77777777" w:rsidR="00395DDE" w:rsidRPr="00D03374" w:rsidRDefault="00395DDE"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0285EE3D" w14:textId="77777777" w:rsidR="00395DDE" w:rsidRDefault="00395DDE"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6711416C" w14:textId="77777777" w:rsidR="00395DDE" w:rsidRDefault="00395DDE"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1C07ACF9" w14:textId="77777777" w:rsidR="00395DDE" w:rsidRDefault="00395DDE" w:rsidP="007A13D5">
            <w:pPr>
              <w:rPr>
                <w:rFonts w:ascii="Calibri" w:hAnsi="Calibri" w:cs="Calibri"/>
                <w:noProof/>
                <w:sz w:val="18"/>
                <w:szCs w:val="18"/>
              </w:rPr>
            </w:pPr>
            <w:r>
              <w:rPr>
                <w:rFonts w:ascii="Calibri" w:hAnsi="Calibri" w:cs="Calibri"/>
                <w:noProof/>
                <w:sz w:val="18"/>
                <w:szCs w:val="18"/>
              </w:rPr>
              <w:t>Time/Room/Derieux?</w:t>
            </w:r>
          </w:p>
        </w:tc>
      </w:tr>
      <w:tr w:rsidR="00395DDE" w:rsidRPr="00D03374" w14:paraId="2AD549D0" w14:textId="77777777" w:rsidTr="007A13D5">
        <w:trPr>
          <w:trHeight w:val="425"/>
        </w:trPr>
        <w:tc>
          <w:tcPr>
            <w:tcW w:w="979" w:type="dxa"/>
            <w:vMerge w:val="restart"/>
          </w:tcPr>
          <w:p w14:paraId="695F7F07" w14:textId="77777777" w:rsidR="00395DDE" w:rsidRPr="00D03374" w:rsidRDefault="00395DD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0</w:t>
            </w:r>
          </w:p>
        </w:tc>
        <w:tc>
          <w:tcPr>
            <w:tcW w:w="3311" w:type="dxa"/>
            <w:vMerge w:val="restart"/>
          </w:tcPr>
          <w:p w14:paraId="0F992110"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Polystyrene microplastics uptake drives Inflammatory, epitranscriptomic, and metabolic reprogramming in human aortic endothelial cells</w:t>
            </w:r>
          </w:p>
        </w:tc>
        <w:tc>
          <w:tcPr>
            <w:tcW w:w="1456" w:type="dxa"/>
            <w:vMerge w:val="restart"/>
          </w:tcPr>
          <w:p w14:paraId="00961D69"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Khan, Ajmal*, Kyla Grant, Gordon Zheng, Warren S. Vidar, Frank Morales-Shnaider, Xuewei Zhu,  Norman Chiu, Zhenquan Jia</w:t>
            </w:r>
          </w:p>
        </w:tc>
        <w:tc>
          <w:tcPr>
            <w:tcW w:w="1809" w:type="dxa"/>
            <w:vMerge w:val="restart"/>
          </w:tcPr>
          <w:p w14:paraId="19F2FA45"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Khan, Ajmal*, Kyla Grant, Gordon Zheng, (Department of Biology, University of North Carolina at Greensboro, Greensboro, NC 27412, USA), Warren S. Vidar, Frank Morales-Shnaider, Norman Chiu), Department of Chemistry and Biochemistry, University of North Carolina at Greensboro, Greensboro, NC 27412, USA, Xuewei Zhu (Department of Internal Medicine, Section on Molecular Medicine, Wake Forest University School of Medicine, Winston Salem, NC 27101, USA)</w:t>
            </w:r>
          </w:p>
        </w:tc>
        <w:tc>
          <w:tcPr>
            <w:tcW w:w="1795" w:type="dxa"/>
          </w:tcPr>
          <w:p w14:paraId="1977FA98"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10:00-10:15 AM</w:t>
            </w:r>
          </w:p>
        </w:tc>
      </w:tr>
      <w:tr w:rsidR="00395DDE" w:rsidRPr="00D03374" w14:paraId="187967C9" w14:textId="77777777" w:rsidTr="007A13D5">
        <w:trPr>
          <w:trHeight w:val="424"/>
        </w:trPr>
        <w:tc>
          <w:tcPr>
            <w:tcW w:w="979" w:type="dxa"/>
            <w:vMerge/>
          </w:tcPr>
          <w:p w14:paraId="537D6F50" w14:textId="77777777" w:rsidR="00395DDE" w:rsidRPr="00D03374" w:rsidRDefault="00395DDE" w:rsidP="007A13D5">
            <w:pPr>
              <w:rPr>
                <w:rFonts w:ascii="Calibri" w:hAnsi="Calibri" w:cs="Calibri"/>
                <w:sz w:val="18"/>
                <w:szCs w:val="18"/>
              </w:rPr>
            </w:pPr>
          </w:p>
        </w:tc>
        <w:tc>
          <w:tcPr>
            <w:tcW w:w="3311" w:type="dxa"/>
            <w:vMerge/>
          </w:tcPr>
          <w:p w14:paraId="0E2441D8" w14:textId="77777777" w:rsidR="00395DDE" w:rsidRPr="00D03374" w:rsidRDefault="00395DDE" w:rsidP="007A13D5">
            <w:pPr>
              <w:rPr>
                <w:rFonts w:ascii="Calibri" w:hAnsi="Calibri" w:cs="Calibri"/>
                <w:sz w:val="18"/>
                <w:szCs w:val="18"/>
              </w:rPr>
            </w:pPr>
          </w:p>
        </w:tc>
        <w:tc>
          <w:tcPr>
            <w:tcW w:w="1456" w:type="dxa"/>
            <w:vMerge/>
          </w:tcPr>
          <w:p w14:paraId="1FFEBB4F" w14:textId="77777777" w:rsidR="00395DDE" w:rsidRPr="00D03374" w:rsidRDefault="00395DDE" w:rsidP="007A13D5">
            <w:pPr>
              <w:rPr>
                <w:rFonts w:ascii="Calibri" w:hAnsi="Calibri" w:cs="Calibri"/>
                <w:sz w:val="18"/>
                <w:szCs w:val="18"/>
              </w:rPr>
            </w:pPr>
          </w:p>
        </w:tc>
        <w:tc>
          <w:tcPr>
            <w:tcW w:w="1809" w:type="dxa"/>
            <w:vMerge/>
          </w:tcPr>
          <w:p w14:paraId="0A649640" w14:textId="77777777" w:rsidR="00395DDE" w:rsidRPr="00D03374" w:rsidRDefault="00395DDE" w:rsidP="007A13D5">
            <w:pPr>
              <w:rPr>
                <w:rFonts w:ascii="Calibri" w:hAnsi="Calibri" w:cs="Calibri"/>
                <w:sz w:val="18"/>
                <w:szCs w:val="18"/>
              </w:rPr>
            </w:pPr>
          </w:p>
        </w:tc>
        <w:tc>
          <w:tcPr>
            <w:tcW w:w="1795" w:type="dxa"/>
          </w:tcPr>
          <w:p w14:paraId="4FE4D2D7"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KOBC 200</w:t>
            </w:r>
          </w:p>
        </w:tc>
      </w:tr>
      <w:tr w:rsidR="00395DDE" w:rsidRPr="00D03374" w14:paraId="3DEA3B48" w14:textId="77777777" w:rsidTr="007A13D5">
        <w:trPr>
          <w:trHeight w:val="424"/>
        </w:trPr>
        <w:tc>
          <w:tcPr>
            <w:tcW w:w="979" w:type="dxa"/>
            <w:vMerge/>
          </w:tcPr>
          <w:p w14:paraId="048F5028" w14:textId="77777777" w:rsidR="00395DDE" w:rsidRPr="00D03374" w:rsidRDefault="00395DDE" w:rsidP="007A13D5">
            <w:pPr>
              <w:rPr>
                <w:rFonts w:ascii="Calibri" w:hAnsi="Calibri" w:cs="Calibri"/>
                <w:sz w:val="18"/>
                <w:szCs w:val="18"/>
              </w:rPr>
            </w:pPr>
          </w:p>
        </w:tc>
        <w:tc>
          <w:tcPr>
            <w:tcW w:w="3311" w:type="dxa"/>
            <w:vMerge/>
          </w:tcPr>
          <w:p w14:paraId="0902C29C" w14:textId="77777777" w:rsidR="00395DDE" w:rsidRPr="00D03374" w:rsidRDefault="00395DDE" w:rsidP="007A13D5">
            <w:pPr>
              <w:rPr>
                <w:rFonts w:ascii="Calibri" w:hAnsi="Calibri" w:cs="Calibri"/>
                <w:sz w:val="18"/>
                <w:szCs w:val="18"/>
              </w:rPr>
            </w:pPr>
          </w:p>
        </w:tc>
        <w:tc>
          <w:tcPr>
            <w:tcW w:w="1456" w:type="dxa"/>
            <w:vMerge/>
          </w:tcPr>
          <w:p w14:paraId="49F0975D" w14:textId="77777777" w:rsidR="00395DDE" w:rsidRPr="00D03374" w:rsidRDefault="00395DDE" w:rsidP="007A13D5">
            <w:pPr>
              <w:rPr>
                <w:rFonts w:ascii="Calibri" w:hAnsi="Calibri" w:cs="Calibri"/>
                <w:sz w:val="18"/>
                <w:szCs w:val="18"/>
              </w:rPr>
            </w:pPr>
          </w:p>
        </w:tc>
        <w:tc>
          <w:tcPr>
            <w:tcW w:w="1809" w:type="dxa"/>
            <w:vMerge/>
          </w:tcPr>
          <w:p w14:paraId="2DEBA992" w14:textId="77777777" w:rsidR="00395DDE" w:rsidRPr="00D03374" w:rsidRDefault="00395DDE" w:rsidP="007A13D5">
            <w:pPr>
              <w:rPr>
                <w:rFonts w:ascii="Calibri" w:hAnsi="Calibri" w:cs="Calibri"/>
                <w:sz w:val="18"/>
                <w:szCs w:val="18"/>
              </w:rPr>
            </w:pPr>
          </w:p>
        </w:tc>
        <w:tc>
          <w:tcPr>
            <w:tcW w:w="1795" w:type="dxa"/>
          </w:tcPr>
          <w:p w14:paraId="44D51743"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No</w:t>
            </w:r>
          </w:p>
        </w:tc>
      </w:tr>
      <w:tr w:rsidR="00395DDE" w:rsidRPr="00D03374" w14:paraId="05B78BB6" w14:textId="77777777" w:rsidTr="007A13D5">
        <w:trPr>
          <w:trHeight w:val="425"/>
        </w:trPr>
        <w:tc>
          <w:tcPr>
            <w:tcW w:w="979" w:type="dxa"/>
            <w:vMerge w:val="restart"/>
          </w:tcPr>
          <w:p w14:paraId="5DF1201B" w14:textId="77777777" w:rsidR="00395DDE" w:rsidRPr="00D03374" w:rsidRDefault="00395DD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1</w:t>
            </w:r>
          </w:p>
        </w:tc>
        <w:tc>
          <w:tcPr>
            <w:tcW w:w="3311" w:type="dxa"/>
            <w:vMerge w:val="restart"/>
          </w:tcPr>
          <w:p w14:paraId="06699BAE"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Exploring alternative antimicrobial approaches through genomic analysis of a pediatric cutaneous specimen</w:t>
            </w:r>
          </w:p>
        </w:tc>
        <w:tc>
          <w:tcPr>
            <w:tcW w:w="1456" w:type="dxa"/>
            <w:vMerge w:val="restart"/>
          </w:tcPr>
          <w:p w14:paraId="1C861CF5"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Rohrer, Taylor*,  Akamu, Ewunkem</w:t>
            </w:r>
          </w:p>
        </w:tc>
        <w:tc>
          <w:tcPr>
            <w:tcW w:w="1809" w:type="dxa"/>
            <w:vMerge w:val="restart"/>
          </w:tcPr>
          <w:p w14:paraId="6011A610"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Winston Salem State University</w:t>
            </w:r>
          </w:p>
        </w:tc>
        <w:tc>
          <w:tcPr>
            <w:tcW w:w="1795" w:type="dxa"/>
          </w:tcPr>
          <w:p w14:paraId="201CA375"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10:15-10:30 AM</w:t>
            </w:r>
          </w:p>
        </w:tc>
      </w:tr>
      <w:tr w:rsidR="00395DDE" w:rsidRPr="00D03374" w14:paraId="349C35EF" w14:textId="77777777" w:rsidTr="007A13D5">
        <w:trPr>
          <w:trHeight w:val="424"/>
        </w:trPr>
        <w:tc>
          <w:tcPr>
            <w:tcW w:w="979" w:type="dxa"/>
            <w:vMerge/>
          </w:tcPr>
          <w:p w14:paraId="6D776E2D" w14:textId="77777777" w:rsidR="00395DDE" w:rsidRPr="00D03374" w:rsidRDefault="00395DDE" w:rsidP="007A13D5">
            <w:pPr>
              <w:rPr>
                <w:rFonts w:ascii="Calibri" w:hAnsi="Calibri" w:cs="Calibri"/>
                <w:sz w:val="18"/>
                <w:szCs w:val="18"/>
              </w:rPr>
            </w:pPr>
          </w:p>
        </w:tc>
        <w:tc>
          <w:tcPr>
            <w:tcW w:w="3311" w:type="dxa"/>
            <w:vMerge/>
          </w:tcPr>
          <w:p w14:paraId="19CAA2DF" w14:textId="77777777" w:rsidR="00395DDE" w:rsidRPr="00D03374" w:rsidRDefault="00395DDE" w:rsidP="007A13D5">
            <w:pPr>
              <w:rPr>
                <w:rFonts w:ascii="Calibri" w:hAnsi="Calibri" w:cs="Calibri"/>
                <w:sz w:val="18"/>
                <w:szCs w:val="18"/>
              </w:rPr>
            </w:pPr>
          </w:p>
        </w:tc>
        <w:tc>
          <w:tcPr>
            <w:tcW w:w="1456" w:type="dxa"/>
            <w:vMerge/>
          </w:tcPr>
          <w:p w14:paraId="0DD6F57E" w14:textId="77777777" w:rsidR="00395DDE" w:rsidRPr="00D03374" w:rsidRDefault="00395DDE" w:rsidP="007A13D5">
            <w:pPr>
              <w:rPr>
                <w:rFonts w:ascii="Calibri" w:hAnsi="Calibri" w:cs="Calibri"/>
                <w:sz w:val="18"/>
                <w:szCs w:val="18"/>
              </w:rPr>
            </w:pPr>
          </w:p>
        </w:tc>
        <w:tc>
          <w:tcPr>
            <w:tcW w:w="1809" w:type="dxa"/>
            <w:vMerge/>
          </w:tcPr>
          <w:p w14:paraId="0A94AA42" w14:textId="77777777" w:rsidR="00395DDE" w:rsidRPr="00D03374" w:rsidRDefault="00395DDE" w:rsidP="007A13D5">
            <w:pPr>
              <w:rPr>
                <w:rFonts w:ascii="Calibri" w:hAnsi="Calibri" w:cs="Calibri"/>
                <w:sz w:val="18"/>
                <w:szCs w:val="18"/>
              </w:rPr>
            </w:pPr>
          </w:p>
        </w:tc>
        <w:tc>
          <w:tcPr>
            <w:tcW w:w="1795" w:type="dxa"/>
          </w:tcPr>
          <w:p w14:paraId="04546465"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KOBC 200</w:t>
            </w:r>
          </w:p>
        </w:tc>
      </w:tr>
      <w:tr w:rsidR="00395DDE" w:rsidRPr="00D03374" w14:paraId="5966EEB1" w14:textId="77777777" w:rsidTr="007A13D5">
        <w:trPr>
          <w:trHeight w:val="424"/>
        </w:trPr>
        <w:tc>
          <w:tcPr>
            <w:tcW w:w="979" w:type="dxa"/>
            <w:vMerge/>
          </w:tcPr>
          <w:p w14:paraId="67CDD0FD" w14:textId="77777777" w:rsidR="00395DDE" w:rsidRPr="00D03374" w:rsidRDefault="00395DDE" w:rsidP="007A13D5">
            <w:pPr>
              <w:rPr>
                <w:rFonts w:ascii="Calibri" w:hAnsi="Calibri" w:cs="Calibri"/>
                <w:sz w:val="18"/>
                <w:szCs w:val="18"/>
              </w:rPr>
            </w:pPr>
          </w:p>
        </w:tc>
        <w:tc>
          <w:tcPr>
            <w:tcW w:w="3311" w:type="dxa"/>
            <w:vMerge/>
          </w:tcPr>
          <w:p w14:paraId="5DD75878" w14:textId="77777777" w:rsidR="00395DDE" w:rsidRPr="00D03374" w:rsidRDefault="00395DDE" w:rsidP="007A13D5">
            <w:pPr>
              <w:rPr>
                <w:rFonts w:ascii="Calibri" w:hAnsi="Calibri" w:cs="Calibri"/>
                <w:sz w:val="18"/>
                <w:szCs w:val="18"/>
              </w:rPr>
            </w:pPr>
          </w:p>
        </w:tc>
        <w:tc>
          <w:tcPr>
            <w:tcW w:w="1456" w:type="dxa"/>
            <w:vMerge/>
          </w:tcPr>
          <w:p w14:paraId="2969D647" w14:textId="77777777" w:rsidR="00395DDE" w:rsidRPr="00D03374" w:rsidRDefault="00395DDE" w:rsidP="007A13D5">
            <w:pPr>
              <w:rPr>
                <w:rFonts w:ascii="Calibri" w:hAnsi="Calibri" w:cs="Calibri"/>
                <w:sz w:val="18"/>
                <w:szCs w:val="18"/>
              </w:rPr>
            </w:pPr>
          </w:p>
        </w:tc>
        <w:tc>
          <w:tcPr>
            <w:tcW w:w="1809" w:type="dxa"/>
            <w:vMerge/>
          </w:tcPr>
          <w:p w14:paraId="5C4E1DBC" w14:textId="77777777" w:rsidR="00395DDE" w:rsidRPr="00D03374" w:rsidRDefault="00395DDE" w:rsidP="007A13D5">
            <w:pPr>
              <w:rPr>
                <w:rFonts w:ascii="Calibri" w:hAnsi="Calibri" w:cs="Calibri"/>
                <w:sz w:val="18"/>
                <w:szCs w:val="18"/>
              </w:rPr>
            </w:pPr>
          </w:p>
        </w:tc>
        <w:tc>
          <w:tcPr>
            <w:tcW w:w="1795" w:type="dxa"/>
          </w:tcPr>
          <w:p w14:paraId="3BD79B20"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Yes</w:t>
            </w:r>
          </w:p>
        </w:tc>
      </w:tr>
      <w:tr w:rsidR="00395DDE" w:rsidRPr="00D03374" w14:paraId="5E16CC0C" w14:textId="77777777" w:rsidTr="007A13D5">
        <w:trPr>
          <w:trHeight w:val="425"/>
        </w:trPr>
        <w:tc>
          <w:tcPr>
            <w:tcW w:w="979" w:type="dxa"/>
            <w:vMerge w:val="restart"/>
          </w:tcPr>
          <w:p w14:paraId="5CDFF4DC" w14:textId="77777777" w:rsidR="00395DDE" w:rsidRPr="00D03374" w:rsidRDefault="00395DDE" w:rsidP="007A13D5">
            <w:pPr>
              <w:rPr>
                <w:rFonts w:ascii="Calibri" w:hAnsi="Calibri" w:cs="Calibri"/>
                <w:noProof/>
                <w:sz w:val="18"/>
                <w:szCs w:val="18"/>
              </w:rPr>
            </w:pPr>
            <w:r>
              <w:rPr>
                <w:rFonts w:ascii="Calibri" w:hAnsi="Calibri" w:cs="Calibri"/>
                <w:noProof/>
                <w:sz w:val="18"/>
                <w:szCs w:val="18"/>
              </w:rPr>
              <w:lastRenderedPageBreak/>
              <w:t>Oral-</w:t>
            </w:r>
            <w:r w:rsidRPr="001362AE">
              <w:rPr>
                <w:rFonts w:ascii="Calibri" w:hAnsi="Calibri" w:cs="Calibri"/>
                <w:noProof/>
                <w:sz w:val="18"/>
                <w:szCs w:val="18"/>
              </w:rPr>
              <w:t>2</w:t>
            </w:r>
            <w:r>
              <w:rPr>
                <w:rFonts w:ascii="Calibri" w:hAnsi="Calibri" w:cs="Calibri"/>
                <w:noProof/>
                <w:sz w:val="18"/>
                <w:szCs w:val="18"/>
              </w:rPr>
              <w:t>2</w:t>
            </w:r>
          </w:p>
        </w:tc>
        <w:tc>
          <w:tcPr>
            <w:tcW w:w="3311" w:type="dxa"/>
            <w:vMerge w:val="restart"/>
          </w:tcPr>
          <w:p w14:paraId="16C17FBB"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Thermal stability and enzymatic characterization of carbonic anhydrase variants for industrial CO2 capture</w:t>
            </w:r>
          </w:p>
        </w:tc>
        <w:tc>
          <w:tcPr>
            <w:tcW w:w="1456" w:type="dxa"/>
            <w:vMerge w:val="restart"/>
          </w:tcPr>
          <w:p w14:paraId="184DDA50"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Foster, Bobbi* , Greg Buhrman</w:t>
            </w:r>
          </w:p>
        </w:tc>
        <w:tc>
          <w:tcPr>
            <w:tcW w:w="1809" w:type="dxa"/>
            <w:vMerge w:val="restart"/>
          </w:tcPr>
          <w:p w14:paraId="7DBCFD6F"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North Carolina State University</w:t>
            </w:r>
          </w:p>
        </w:tc>
        <w:tc>
          <w:tcPr>
            <w:tcW w:w="1795" w:type="dxa"/>
          </w:tcPr>
          <w:p w14:paraId="56538B60"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10:30-10:45 AM</w:t>
            </w:r>
          </w:p>
        </w:tc>
      </w:tr>
      <w:tr w:rsidR="00395DDE" w:rsidRPr="00D03374" w14:paraId="7E4EAEC9" w14:textId="77777777" w:rsidTr="007A13D5">
        <w:trPr>
          <w:trHeight w:val="424"/>
        </w:trPr>
        <w:tc>
          <w:tcPr>
            <w:tcW w:w="979" w:type="dxa"/>
            <w:vMerge/>
          </w:tcPr>
          <w:p w14:paraId="2B9ED0F6" w14:textId="77777777" w:rsidR="00395DDE" w:rsidRPr="00D03374" w:rsidRDefault="00395DDE" w:rsidP="007A13D5">
            <w:pPr>
              <w:rPr>
                <w:rFonts w:ascii="Calibri" w:hAnsi="Calibri" w:cs="Calibri"/>
                <w:sz w:val="18"/>
                <w:szCs w:val="18"/>
              </w:rPr>
            </w:pPr>
          </w:p>
        </w:tc>
        <w:tc>
          <w:tcPr>
            <w:tcW w:w="3311" w:type="dxa"/>
            <w:vMerge/>
          </w:tcPr>
          <w:p w14:paraId="06C336BA" w14:textId="77777777" w:rsidR="00395DDE" w:rsidRPr="00D03374" w:rsidRDefault="00395DDE" w:rsidP="007A13D5">
            <w:pPr>
              <w:rPr>
                <w:rFonts w:ascii="Calibri" w:hAnsi="Calibri" w:cs="Calibri"/>
                <w:sz w:val="18"/>
                <w:szCs w:val="18"/>
              </w:rPr>
            </w:pPr>
          </w:p>
        </w:tc>
        <w:tc>
          <w:tcPr>
            <w:tcW w:w="1456" w:type="dxa"/>
            <w:vMerge/>
          </w:tcPr>
          <w:p w14:paraId="0A172A62" w14:textId="77777777" w:rsidR="00395DDE" w:rsidRPr="00D03374" w:rsidRDefault="00395DDE" w:rsidP="007A13D5">
            <w:pPr>
              <w:rPr>
                <w:rFonts w:ascii="Calibri" w:hAnsi="Calibri" w:cs="Calibri"/>
                <w:sz w:val="18"/>
                <w:szCs w:val="18"/>
              </w:rPr>
            </w:pPr>
          </w:p>
        </w:tc>
        <w:tc>
          <w:tcPr>
            <w:tcW w:w="1809" w:type="dxa"/>
            <w:vMerge/>
          </w:tcPr>
          <w:p w14:paraId="35C1968B" w14:textId="77777777" w:rsidR="00395DDE" w:rsidRPr="00D03374" w:rsidRDefault="00395DDE" w:rsidP="007A13D5">
            <w:pPr>
              <w:rPr>
                <w:rFonts w:ascii="Calibri" w:hAnsi="Calibri" w:cs="Calibri"/>
                <w:sz w:val="18"/>
                <w:szCs w:val="18"/>
              </w:rPr>
            </w:pPr>
          </w:p>
        </w:tc>
        <w:tc>
          <w:tcPr>
            <w:tcW w:w="1795" w:type="dxa"/>
          </w:tcPr>
          <w:p w14:paraId="5EB91B06"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KOBC 200</w:t>
            </w:r>
          </w:p>
        </w:tc>
      </w:tr>
      <w:tr w:rsidR="00395DDE" w:rsidRPr="00D03374" w14:paraId="6378D3BE" w14:textId="77777777" w:rsidTr="007A13D5">
        <w:trPr>
          <w:trHeight w:val="424"/>
        </w:trPr>
        <w:tc>
          <w:tcPr>
            <w:tcW w:w="979" w:type="dxa"/>
            <w:vMerge/>
          </w:tcPr>
          <w:p w14:paraId="2B944DA8" w14:textId="77777777" w:rsidR="00395DDE" w:rsidRPr="00D03374" w:rsidRDefault="00395DDE" w:rsidP="007A13D5">
            <w:pPr>
              <w:rPr>
                <w:rFonts w:ascii="Calibri" w:hAnsi="Calibri" w:cs="Calibri"/>
                <w:sz w:val="18"/>
                <w:szCs w:val="18"/>
              </w:rPr>
            </w:pPr>
          </w:p>
        </w:tc>
        <w:tc>
          <w:tcPr>
            <w:tcW w:w="3311" w:type="dxa"/>
            <w:vMerge/>
          </w:tcPr>
          <w:p w14:paraId="7373EA96" w14:textId="77777777" w:rsidR="00395DDE" w:rsidRPr="00D03374" w:rsidRDefault="00395DDE" w:rsidP="007A13D5">
            <w:pPr>
              <w:rPr>
                <w:rFonts w:ascii="Calibri" w:hAnsi="Calibri" w:cs="Calibri"/>
                <w:sz w:val="18"/>
                <w:szCs w:val="18"/>
              </w:rPr>
            </w:pPr>
          </w:p>
        </w:tc>
        <w:tc>
          <w:tcPr>
            <w:tcW w:w="1456" w:type="dxa"/>
            <w:vMerge/>
          </w:tcPr>
          <w:p w14:paraId="40FB846A" w14:textId="77777777" w:rsidR="00395DDE" w:rsidRPr="00D03374" w:rsidRDefault="00395DDE" w:rsidP="007A13D5">
            <w:pPr>
              <w:rPr>
                <w:rFonts w:ascii="Calibri" w:hAnsi="Calibri" w:cs="Calibri"/>
                <w:sz w:val="18"/>
                <w:szCs w:val="18"/>
              </w:rPr>
            </w:pPr>
          </w:p>
        </w:tc>
        <w:tc>
          <w:tcPr>
            <w:tcW w:w="1809" w:type="dxa"/>
            <w:vMerge/>
          </w:tcPr>
          <w:p w14:paraId="0C139D2B" w14:textId="77777777" w:rsidR="00395DDE" w:rsidRPr="00D03374" w:rsidRDefault="00395DDE" w:rsidP="007A13D5">
            <w:pPr>
              <w:rPr>
                <w:rFonts w:ascii="Calibri" w:hAnsi="Calibri" w:cs="Calibri"/>
                <w:sz w:val="18"/>
                <w:szCs w:val="18"/>
              </w:rPr>
            </w:pPr>
          </w:p>
        </w:tc>
        <w:tc>
          <w:tcPr>
            <w:tcW w:w="1795" w:type="dxa"/>
          </w:tcPr>
          <w:p w14:paraId="6781391C"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Yes</w:t>
            </w:r>
          </w:p>
        </w:tc>
      </w:tr>
      <w:tr w:rsidR="00395DDE" w:rsidRPr="00D03374" w14:paraId="5C42F827" w14:textId="77777777" w:rsidTr="007A13D5">
        <w:trPr>
          <w:trHeight w:val="425"/>
        </w:trPr>
        <w:tc>
          <w:tcPr>
            <w:tcW w:w="979" w:type="dxa"/>
            <w:vMerge w:val="restart"/>
          </w:tcPr>
          <w:p w14:paraId="2D60016F" w14:textId="77777777" w:rsidR="00395DDE" w:rsidRPr="00D03374" w:rsidRDefault="00395DDE"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3</w:t>
            </w:r>
          </w:p>
        </w:tc>
        <w:tc>
          <w:tcPr>
            <w:tcW w:w="3311" w:type="dxa"/>
            <w:vMerge w:val="restart"/>
          </w:tcPr>
          <w:p w14:paraId="5723B7E5"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Microbial fuel cell technology to observe gluconeogenesis in Saccharomyces cerevisiae</w:t>
            </w:r>
          </w:p>
        </w:tc>
        <w:tc>
          <w:tcPr>
            <w:tcW w:w="1456" w:type="dxa"/>
            <w:vMerge w:val="restart"/>
          </w:tcPr>
          <w:p w14:paraId="1052AB5B"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Moo, Kyaw*, Darryl K. Bing, Ph.D.</w:t>
            </w:r>
          </w:p>
        </w:tc>
        <w:tc>
          <w:tcPr>
            <w:tcW w:w="1809" w:type="dxa"/>
            <w:vMerge w:val="restart"/>
          </w:tcPr>
          <w:p w14:paraId="4E846965"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Durham Technical Community College</w:t>
            </w:r>
          </w:p>
        </w:tc>
        <w:tc>
          <w:tcPr>
            <w:tcW w:w="1795" w:type="dxa"/>
          </w:tcPr>
          <w:p w14:paraId="48CC2F64"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10:45-11:00 AM</w:t>
            </w:r>
          </w:p>
        </w:tc>
      </w:tr>
      <w:tr w:rsidR="00395DDE" w:rsidRPr="00D03374" w14:paraId="1B5BDC57" w14:textId="77777777" w:rsidTr="007A13D5">
        <w:trPr>
          <w:trHeight w:val="424"/>
        </w:trPr>
        <w:tc>
          <w:tcPr>
            <w:tcW w:w="979" w:type="dxa"/>
            <w:vMerge/>
          </w:tcPr>
          <w:p w14:paraId="1036CE6E" w14:textId="77777777" w:rsidR="00395DDE" w:rsidRPr="00D03374" w:rsidRDefault="00395DDE" w:rsidP="007A13D5">
            <w:pPr>
              <w:rPr>
                <w:rFonts w:ascii="Calibri" w:hAnsi="Calibri" w:cs="Calibri"/>
                <w:sz w:val="18"/>
                <w:szCs w:val="18"/>
              </w:rPr>
            </w:pPr>
          </w:p>
        </w:tc>
        <w:tc>
          <w:tcPr>
            <w:tcW w:w="3311" w:type="dxa"/>
            <w:vMerge/>
          </w:tcPr>
          <w:p w14:paraId="219A18C5" w14:textId="77777777" w:rsidR="00395DDE" w:rsidRPr="00D03374" w:rsidRDefault="00395DDE" w:rsidP="007A13D5">
            <w:pPr>
              <w:rPr>
                <w:rFonts w:ascii="Calibri" w:hAnsi="Calibri" w:cs="Calibri"/>
                <w:sz w:val="18"/>
                <w:szCs w:val="18"/>
              </w:rPr>
            </w:pPr>
          </w:p>
        </w:tc>
        <w:tc>
          <w:tcPr>
            <w:tcW w:w="1456" w:type="dxa"/>
            <w:vMerge/>
          </w:tcPr>
          <w:p w14:paraId="2FB509FF" w14:textId="77777777" w:rsidR="00395DDE" w:rsidRPr="00D03374" w:rsidRDefault="00395DDE" w:rsidP="007A13D5">
            <w:pPr>
              <w:rPr>
                <w:rFonts w:ascii="Calibri" w:hAnsi="Calibri" w:cs="Calibri"/>
                <w:sz w:val="18"/>
                <w:szCs w:val="18"/>
              </w:rPr>
            </w:pPr>
          </w:p>
        </w:tc>
        <w:tc>
          <w:tcPr>
            <w:tcW w:w="1809" w:type="dxa"/>
            <w:vMerge/>
          </w:tcPr>
          <w:p w14:paraId="4F4D399A" w14:textId="77777777" w:rsidR="00395DDE" w:rsidRPr="00D03374" w:rsidRDefault="00395DDE" w:rsidP="007A13D5">
            <w:pPr>
              <w:rPr>
                <w:rFonts w:ascii="Calibri" w:hAnsi="Calibri" w:cs="Calibri"/>
                <w:sz w:val="18"/>
                <w:szCs w:val="18"/>
              </w:rPr>
            </w:pPr>
          </w:p>
        </w:tc>
        <w:tc>
          <w:tcPr>
            <w:tcW w:w="1795" w:type="dxa"/>
          </w:tcPr>
          <w:p w14:paraId="60A7AB1A"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KOBC 200</w:t>
            </w:r>
          </w:p>
        </w:tc>
      </w:tr>
      <w:tr w:rsidR="00395DDE" w:rsidRPr="00D03374" w14:paraId="243B693B" w14:textId="77777777" w:rsidTr="007A13D5">
        <w:trPr>
          <w:trHeight w:val="424"/>
        </w:trPr>
        <w:tc>
          <w:tcPr>
            <w:tcW w:w="979" w:type="dxa"/>
            <w:vMerge/>
          </w:tcPr>
          <w:p w14:paraId="2E20AB8E" w14:textId="77777777" w:rsidR="00395DDE" w:rsidRPr="00D03374" w:rsidRDefault="00395DDE" w:rsidP="007A13D5">
            <w:pPr>
              <w:rPr>
                <w:rFonts w:ascii="Calibri" w:hAnsi="Calibri" w:cs="Calibri"/>
                <w:sz w:val="18"/>
                <w:szCs w:val="18"/>
              </w:rPr>
            </w:pPr>
          </w:p>
        </w:tc>
        <w:tc>
          <w:tcPr>
            <w:tcW w:w="3311" w:type="dxa"/>
            <w:vMerge/>
          </w:tcPr>
          <w:p w14:paraId="36623809" w14:textId="77777777" w:rsidR="00395DDE" w:rsidRPr="00D03374" w:rsidRDefault="00395DDE" w:rsidP="007A13D5">
            <w:pPr>
              <w:rPr>
                <w:rFonts w:ascii="Calibri" w:hAnsi="Calibri" w:cs="Calibri"/>
                <w:sz w:val="18"/>
                <w:szCs w:val="18"/>
              </w:rPr>
            </w:pPr>
          </w:p>
        </w:tc>
        <w:tc>
          <w:tcPr>
            <w:tcW w:w="1456" w:type="dxa"/>
            <w:vMerge/>
          </w:tcPr>
          <w:p w14:paraId="710C75C0" w14:textId="77777777" w:rsidR="00395DDE" w:rsidRPr="00D03374" w:rsidRDefault="00395DDE" w:rsidP="007A13D5">
            <w:pPr>
              <w:rPr>
                <w:rFonts w:ascii="Calibri" w:hAnsi="Calibri" w:cs="Calibri"/>
                <w:sz w:val="18"/>
                <w:szCs w:val="18"/>
              </w:rPr>
            </w:pPr>
          </w:p>
        </w:tc>
        <w:tc>
          <w:tcPr>
            <w:tcW w:w="1809" w:type="dxa"/>
            <w:vMerge/>
          </w:tcPr>
          <w:p w14:paraId="060E47B5" w14:textId="77777777" w:rsidR="00395DDE" w:rsidRPr="00D03374" w:rsidRDefault="00395DDE" w:rsidP="007A13D5">
            <w:pPr>
              <w:rPr>
                <w:rFonts w:ascii="Calibri" w:hAnsi="Calibri" w:cs="Calibri"/>
                <w:sz w:val="18"/>
                <w:szCs w:val="18"/>
              </w:rPr>
            </w:pPr>
          </w:p>
        </w:tc>
        <w:tc>
          <w:tcPr>
            <w:tcW w:w="1795" w:type="dxa"/>
          </w:tcPr>
          <w:p w14:paraId="6CE18F17" w14:textId="77777777" w:rsidR="00395DDE" w:rsidRPr="00D03374" w:rsidRDefault="00395DDE" w:rsidP="007A13D5">
            <w:pPr>
              <w:rPr>
                <w:rFonts w:ascii="Calibri" w:hAnsi="Calibri" w:cs="Calibri"/>
                <w:sz w:val="18"/>
                <w:szCs w:val="18"/>
              </w:rPr>
            </w:pPr>
            <w:r w:rsidRPr="001362AE">
              <w:rPr>
                <w:rFonts w:ascii="Calibri" w:hAnsi="Calibri" w:cs="Calibri"/>
                <w:noProof/>
                <w:sz w:val="18"/>
                <w:szCs w:val="18"/>
              </w:rPr>
              <w:t>Yes</w:t>
            </w:r>
          </w:p>
        </w:tc>
      </w:tr>
    </w:tbl>
    <w:p w14:paraId="2C2305F5" w14:textId="4B139192" w:rsidR="00A241A0" w:rsidRPr="002114D5"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tbl>
      <w:tblPr>
        <w:tblStyle w:val="TableGridLight"/>
        <w:tblW w:w="9350" w:type="dxa"/>
        <w:tblLook w:val="04A0" w:firstRow="1" w:lastRow="0" w:firstColumn="1" w:lastColumn="0" w:noHBand="0" w:noVBand="1"/>
      </w:tblPr>
      <w:tblGrid>
        <w:gridCol w:w="979"/>
        <w:gridCol w:w="3311"/>
        <w:gridCol w:w="1456"/>
        <w:gridCol w:w="1809"/>
        <w:gridCol w:w="1795"/>
      </w:tblGrid>
      <w:tr w:rsidR="00F35CA5" w:rsidRPr="00D03374" w14:paraId="229A9782" w14:textId="77777777" w:rsidTr="007A13D5">
        <w:trPr>
          <w:trHeight w:val="425"/>
        </w:trPr>
        <w:tc>
          <w:tcPr>
            <w:tcW w:w="9350" w:type="dxa"/>
            <w:gridSpan w:val="5"/>
            <w:shd w:val="clear" w:color="auto" w:fill="A5C9EB" w:themeFill="text2" w:themeFillTint="40"/>
          </w:tcPr>
          <w:p w14:paraId="393E3596" w14:textId="7A4001D9" w:rsidR="00F35CA5" w:rsidRPr="00340E15" w:rsidRDefault="00F35CA5" w:rsidP="007A13D5">
            <w:pPr>
              <w:rPr>
                <w:rFonts w:ascii="Calibri" w:hAnsi="Calibri" w:cs="Calibri"/>
                <w:noProof/>
                <w:sz w:val="28"/>
                <w:szCs w:val="28"/>
              </w:rPr>
            </w:pPr>
            <w:r w:rsidRPr="001362AE">
              <w:rPr>
                <w:rFonts w:ascii="Calibri" w:hAnsi="Calibri" w:cs="Calibri"/>
                <w:noProof/>
                <w:sz w:val="28"/>
                <w:szCs w:val="28"/>
              </w:rPr>
              <w:t xml:space="preserve">Oral Session </w:t>
            </w:r>
            <w:r w:rsidR="003754F2">
              <w:rPr>
                <w:rFonts w:ascii="Calibri" w:hAnsi="Calibri" w:cs="Calibri"/>
                <w:noProof/>
                <w:sz w:val="28"/>
                <w:szCs w:val="28"/>
              </w:rPr>
              <w:t>2B</w:t>
            </w:r>
            <w:r w:rsidRPr="00340E15">
              <w:rPr>
                <w:rFonts w:ascii="Calibri" w:hAnsi="Calibri" w:cs="Calibri"/>
                <w:noProof/>
                <w:sz w:val="28"/>
                <w:szCs w:val="28"/>
              </w:rPr>
              <w:t>--KOBC 208</w:t>
            </w:r>
          </w:p>
        </w:tc>
      </w:tr>
      <w:tr w:rsidR="00F35CA5" w:rsidRPr="00D03374" w14:paraId="32D88C71"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1FB30BCD" w14:textId="45884481" w:rsidR="00F35CA5" w:rsidRPr="00340E15" w:rsidRDefault="00F35CA5" w:rsidP="007A13D5">
            <w:pPr>
              <w:rPr>
                <w:rFonts w:ascii="Calibri" w:hAnsi="Calibri" w:cs="Calibri"/>
                <w:noProof/>
                <w:sz w:val="22"/>
                <w:szCs w:val="22"/>
              </w:rPr>
            </w:pPr>
            <w:r w:rsidRPr="00340E15">
              <w:rPr>
                <w:rFonts w:ascii="Calibri" w:hAnsi="Calibri" w:cs="Calibri"/>
                <w:noProof/>
                <w:sz w:val="22"/>
                <w:szCs w:val="22"/>
              </w:rPr>
              <w:t xml:space="preserve">Section:  </w:t>
            </w:r>
            <w:bookmarkStart w:id="20" w:name="OralPresentationBotZooEcoEnvSci2"/>
            <w:r w:rsidRPr="001362AE">
              <w:rPr>
                <w:rFonts w:ascii="Calibri" w:hAnsi="Calibri" w:cs="Calibri"/>
                <w:noProof/>
                <w:sz w:val="22"/>
                <w:szCs w:val="22"/>
              </w:rPr>
              <w:t>Botany, Zoology,</w:t>
            </w:r>
            <w:r w:rsidR="00356294">
              <w:rPr>
                <w:rFonts w:ascii="Calibri" w:hAnsi="Calibri" w:cs="Calibri"/>
                <w:noProof/>
                <w:sz w:val="22"/>
                <w:szCs w:val="22"/>
              </w:rPr>
              <w:t xml:space="preserve"> </w:t>
            </w:r>
            <w:r w:rsidRPr="001362AE">
              <w:rPr>
                <w:rFonts w:ascii="Calibri" w:hAnsi="Calibri" w:cs="Calibri"/>
                <w:noProof/>
                <w:sz w:val="22"/>
                <w:szCs w:val="22"/>
              </w:rPr>
              <w:t>Ecology, &amp; Environmental Science II</w:t>
            </w:r>
            <w:bookmarkEnd w:id="20"/>
          </w:p>
        </w:tc>
      </w:tr>
      <w:tr w:rsidR="00F35CA5" w:rsidRPr="00D03374" w14:paraId="4390E0F7" w14:textId="77777777" w:rsidTr="007A13D5">
        <w:trPr>
          <w:trHeight w:hRule="exact" w:val="288"/>
        </w:trPr>
        <w:tc>
          <w:tcPr>
            <w:tcW w:w="979" w:type="dxa"/>
            <w:shd w:val="clear" w:color="auto" w:fill="D9F2D0" w:themeFill="accent6" w:themeFillTint="33"/>
          </w:tcPr>
          <w:p w14:paraId="3890A424" w14:textId="77777777" w:rsidR="00F35CA5" w:rsidRDefault="00F35CA5" w:rsidP="007A13D5">
            <w:pPr>
              <w:rPr>
                <w:rFonts w:ascii="Calibri" w:hAnsi="Calibri" w:cs="Calibri"/>
                <w:noProof/>
                <w:sz w:val="18"/>
                <w:szCs w:val="18"/>
              </w:rPr>
            </w:pPr>
            <w:r>
              <w:rPr>
                <w:rFonts w:ascii="Calibri" w:hAnsi="Calibri" w:cs="Calibri"/>
                <w:noProof/>
                <w:sz w:val="18"/>
                <w:szCs w:val="18"/>
              </w:rPr>
              <w:t>Abstract #</w:t>
            </w:r>
          </w:p>
          <w:p w14:paraId="1FF5D1CC" w14:textId="77777777" w:rsidR="00F35CA5" w:rsidRDefault="00F35CA5" w:rsidP="007A13D5">
            <w:pPr>
              <w:rPr>
                <w:rFonts w:ascii="Calibri" w:hAnsi="Calibri" w:cs="Calibri"/>
                <w:noProof/>
                <w:sz w:val="18"/>
                <w:szCs w:val="18"/>
              </w:rPr>
            </w:pPr>
          </w:p>
        </w:tc>
        <w:tc>
          <w:tcPr>
            <w:tcW w:w="3311" w:type="dxa"/>
            <w:shd w:val="clear" w:color="auto" w:fill="D9F2D0" w:themeFill="accent6" w:themeFillTint="33"/>
          </w:tcPr>
          <w:p w14:paraId="347E34FC" w14:textId="77777777" w:rsidR="00F35CA5" w:rsidRPr="00D03374" w:rsidRDefault="00F35CA5"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68C37206" w14:textId="77777777" w:rsidR="00F35CA5" w:rsidRDefault="00F35CA5"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2CFA3F26" w14:textId="77777777" w:rsidR="00F35CA5" w:rsidRDefault="00F35CA5"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17556F05" w14:textId="77777777" w:rsidR="00F35CA5" w:rsidRDefault="00F35CA5" w:rsidP="007A13D5">
            <w:pPr>
              <w:rPr>
                <w:rFonts w:ascii="Calibri" w:hAnsi="Calibri" w:cs="Calibri"/>
                <w:noProof/>
                <w:sz w:val="18"/>
                <w:szCs w:val="18"/>
              </w:rPr>
            </w:pPr>
            <w:r>
              <w:rPr>
                <w:rFonts w:ascii="Calibri" w:hAnsi="Calibri" w:cs="Calibri"/>
                <w:noProof/>
                <w:sz w:val="18"/>
                <w:szCs w:val="18"/>
              </w:rPr>
              <w:t>Time/Room/Derieux?</w:t>
            </w:r>
          </w:p>
        </w:tc>
      </w:tr>
      <w:tr w:rsidR="00F35CA5" w:rsidRPr="00D03374" w14:paraId="57E58C8E" w14:textId="77777777" w:rsidTr="007A13D5">
        <w:trPr>
          <w:trHeight w:val="425"/>
        </w:trPr>
        <w:tc>
          <w:tcPr>
            <w:tcW w:w="979" w:type="dxa"/>
            <w:vMerge w:val="restart"/>
          </w:tcPr>
          <w:p w14:paraId="28134EE1" w14:textId="77777777" w:rsidR="00F35CA5" w:rsidRPr="00D03374" w:rsidRDefault="00F35CA5"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4</w:t>
            </w:r>
          </w:p>
        </w:tc>
        <w:tc>
          <w:tcPr>
            <w:tcW w:w="3311" w:type="dxa"/>
            <w:vMerge w:val="restart"/>
          </w:tcPr>
          <w:p w14:paraId="07C5DDD7"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Multimodal Communication and Assessment in Male-Male Interactions by Red-headed Meadow Katydids (</w:t>
            </w:r>
            <w:r w:rsidRPr="00E062B3">
              <w:rPr>
                <w:rFonts w:ascii="Calibri" w:hAnsi="Calibri" w:cs="Calibri"/>
                <w:i/>
                <w:iCs/>
                <w:noProof/>
                <w:sz w:val="18"/>
                <w:szCs w:val="18"/>
              </w:rPr>
              <w:t>Orchelimum erythrocephalum</w:t>
            </w:r>
            <w:r w:rsidRPr="001362AE">
              <w:rPr>
                <w:rFonts w:ascii="Calibri" w:hAnsi="Calibri" w:cs="Calibri"/>
                <w:noProof/>
                <w:sz w:val="18"/>
                <w:szCs w:val="18"/>
              </w:rPr>
              <w:t>)</w:t>
            </w:r>
          </w:p>
        </w:tc>
        <w:tc>
          <w:tcPr>
            <w:tcW w:w="1456" w:type="dxa"/>
            <w:vMerge w:val="restart"/>
          </w:tcPr>
          <w:p w14:paraId="4CDC3B40"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Moriel-Kirshner, Ben, Jennifer Hamel</w:t>
            </w:r>
          </w:p>
        </w:tc>
        <w:tc>
          <w:tcPr>
            <w:tcW w:w="1809" w:type="dxa"/>
            <w:vMerge w:val="restart"/>
          </w:tcPr>
          <w:p w14:paraId="37D9DE4B"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3C31A722"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10:00-10:15 AM</w:t>
            </w:r>
          </w:p>
        </w:tc>
      </w:tr>
      <w:tr w:rsidR="00F35CA5" w:rsidRPr="00D03374" w14:paraId="27FD4365" w14:textId="77777777" w:rsidTr="007A13D5">
        <w:trPr>
          <w:trHeight w:val="424"/>
        </w:trPr>
        <w:tc>
          <w:tcPr>
            <w:tcW w:w="979" w:type="dxa"/>
            <w:vMerge/>
          </w:tcPr>
          <w:p w14:paraId="1C4E0F2F" w14:textId="77777777" w:rsidR="00F35CA5" w:rsidRPr="00D03374" w:rsidRDefault="00F35CA5" w:rsidP="007A13D5">
            <w:pPr>
              <w:rPr>
                <w:rFonts w:ascii="Calibri" w:hAnsi="Calibri" w:cs="Calibri"/>
                <w:sz w:val="18"/>
                <w:szCs w:val="18"/>
              </w:rPr>
            </w:pPr>
          </w:p>
        </w:tc>
        <w:tc>
          <w:tcPr>
            <w:tcW w:w="3311" w:type="dxa"/>
            <w:vMerge/>
          </w:tcPr>
          <w:p w14:paraId="79A9519E" w14:textId="77777777" w:rsidR="00F35CA5" w:rsidRPr="00D03374" w:rsidRDefault="00F35CA5" w:rsidP="007A13D5">
            <w:pPr>
              <w:rPr>
                <w:rFonts w:ascii="Calibri" w:hAnsi="Calibri" w:cs="Calibri"/>
                <w:sz w:val="18"/>
                <w:szCs w:val="18"/>
              </w:rPr>
            </w:pPr>
          </w:p>
        </w:tc>
        <w:tc>
          <w:tcPr>
            <w:tcW w:w="1456" w:type="dxa"/>
            <w:vMerge/>
          </w:tcPr>
          <w:p w14:paraId="6FAD088A" w14:textId="77777777" w:rsidR="00F35CA5" w:rsidRPr="00D03374" w:rsidRDefault="00F35CA5" w:rsidP="007A13D5">
            <w:pPr>
              <w:rPr>
                <w:rFonts w:ascii="Calibri" w:hAnsi="Calibri" w:cs="Calibri"/>
                <w:sz w:val="18"/>
                <w:szCs w:val="18"/>
              </w:rPr>
            </w:pPr>
          </w:p>
        </w:tc>
        <w:tc>
          <w:tcPr>
            <w:tcW w:w="1809" w:type="dxa"/>
            <w:vMerge/>
          </w:tcPr>
          <w:p w14:paraId="5C2D96EF" w14:textId="77777777" w:rsidR="00F35CA5" w:rsidRPr="00D03374" w:rsidRDefault="00F35CA5" w:rsidP="007A13D5">
            <w:pPr>
              <w:rPr>
                <w:rFonts w:ascii="Calibri" w:hAnsi="Calibri" w:cs="Calibri"/>
                <w:sz w:val="18"/>
                <w:szCs w:val="18"/>
              </w:rPr>
            </w:pPr>
          </w:p>
        </w:tc>
        <w:tc>
          <w:tcPr>
            <w:tcW w:w="1795" w:type="dxa"/>
          </w:tcPr>
          <w:p w14:paraId="5C0431F4"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KOBC 208</w:t>
            </w:r>
          </w:p>
        </w:tc>
      </w:tr>
      <w:tr w:rsidR="00F35CA5" w:rsidRPr="00D03374" w14:paraId="07B505A8" w14:textId="77777777" w:rsidTr="007A13D5">
        <w:trPr>
          <w:trHeight w:val="424"/>
        </w:trPr>
        <w:tc>
          <w:tcPr>
            <w:tcW w:w="979" w:type="dxa"/>
            <w:vMerge/>
          </w:tcPr>
          <w:p w14:paraId="3A0F46CB" w14:textId="77777777" w:rsidR="00F35CA5" w:rsidRPr="00D03374" w:rsidRDefault="00F35CA5" w:rsidP="007A13D5">
            <w:pPr>
              <w:rPr>
                <w:rFonts w:ascii="Calibri" w:hAnsi="Calibri" w:cs="Calibri"/>
                <w:sz w:val="18"/>
                <w:szCs w:val="18"/>
              </w:rPr>
            </w:pPr>
          </w:p>
        </w:tc>
        <w:tc>
          <w:tcPr>
            <w:tcW w:w="3311" w:type="dxa"/>
            <w:vMerge/>
          </w:tcPr>
          <w:p w14:paraId="771BB00F" w14:textId="77777777" w:rsidR="00F35CA5" w:rsidRPr="00D03374" w:rsidRDefault="00F35CA5" w:rsidP="007A13D5">
            <w:pPr>
              <w:rPr>
                <w:rFonts w:ascii="Calibri" w:hAnsi="Calibri" w:cs="Calibri"/>
                <w:sz w:val="18"/>
                <w:szCs w:val="18"/>
              </w:rPr>
            </w:pPr>
          </w:p>
        </w:tc>
        <w:tc>
          <w:tcPr>
            <w:tcW w:w="1456" w:type="dxa"/>
            <w:vMerge/>
          </w:tcPr>
          <w:p w14:paraId="7C3E393D" w14:textId="77777777" w:rsidR="00F35CA5" w:rsidRPr="00D03374" w:rsidRDefault="00F35CA5" w:rsidP="007A13D5">
            <w:pPr>
              <w:rPr>
                <w:rFonts w:ascii="Calibri" w:hAnsi="Calibri" w:cs="Calibri"/>
                <w:sz w:val="18"/>
                <w:szCs w:val="18"/>
              </w:rPr>
            </w:pPr>
          </w:p>
        </w:tc>
        <w:tc>
          <w:tcPr>
            <w:tcW w:w="1809" w:type="dxa"/>
            <w:vMerge/>
          </w:tcPr>
          <w:p w14:paraId="7A26DADC" w14:textId="77777777" w:rsidR="00F35CA5" w:rsidRPr="00D03374" w:rsidRDefault="00F35CA5" w:rsidP="007A13D5">
            <w:pPr>
              <w:rPr>
                <w:rFonts w:ascii="Calibri" w:hAnsi="Calibri" w:cs="Calibri"/>
                <w:sz w:val="18"/>
                <w:szCs w:val="18"/>
              </w:rPr>
            </w:pPr>
          </w:p>
        </w:tc>
        <w:tc>
          <w:tcPr>
            <w:tcW w:w="1795" w:type="dxa"/>
          </w:tcPr>
          <w:p w14:paraId="3FA713F2"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Yes</w:t>
            </w:r>
          </w:p>
        </w:tc>
      </w:tr>
      <w:tr w:rsidR="00F35CA5" w:rsidRPr="00D03374" w14:paraId="099B50F3" w14:textId="77777777" w:rsidTr="007A13D5">
        <w:trPr>
          <w:trHeight w:val="425"/>
        </w:trPr>
        <w:tc>
          <w:tcPr>
            <w:tcW w:w="979" w:type="dxa"/>
            <w:vMerge w:val="restart"/>
          </w:tcPr>
          <w:p w14:paraId="46A6B03C" w14:textId="77777777" w:rsidR="00F35CA5" w:rsidRPr="00D03374" w:rsidRDefault="00F35CA5"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5</w:t>
            </w:r>
          </w:p>
        </w:tc>
        <w:tc>
          <w:tcPr>
            <w:tcW w:w="3311" w:type="dxa"/>
            <w:vMerge w:val="restart"/>
          </w:tcPr>
          <w:p w14:paraId="03C3BC1A"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 xml:space="preserve">Effects of creatine monohydrate supplementation on climbing performance post concussive damage in </w:t>
            </w:r>
            <w:r w:rsidRPr="00E062B3">
              <w:rPr>
                <w:rFonts w:ascii="Calibri" w:hAnsi="Calibri" w:cs="Calibri"/>
                <w:i/>
                <w:iCs/>
                <w:noProof/>
                <w:sz w:val="18"/>
                <w:szCs w:val="18"/>
              </w:rPr>
              <w:t>Drosophila melanogaster</w:t>
            </w:r>
          </w:p>
        </w:tc>
        <w:tc>
          <w:tcPr>
            <w:tcW w:w="1456" w:type="dxa"/>
            <w:vMerge w:val="restart"/>
          </w:tcPr>
          <w:p w14:paraId="0713DDCF"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Lachesky, Connor*, Scott Schaefer</w:t>
            </w:r>
          </w:p>
        </w:tc>
        <w:tc>
          <w:tcPr>
            <w:tcW w:w="1809" w:type="dxa"/>
            <w:vMerge w:val="restart"/>
          </w:tcPr>
          <w:p w14:paraId="2030EFB2"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Lenoir-Rhyne University</w:t>
            </w:r>
          </w:p>
        </w:tc>
        <w:tc>
          <w:tcPr>
            <w:tcW w:w="1795" w:type="dxa"/>
          </w:tcPr>
          <w:p w14:paraId="10683A90"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10:15-10:30 AM</w:t>
            </w:r>
          </w:p>
        </w:tc>
      </w:tr>
      <w:tr w:rsidR="00F35CA5" w:rsidRPr="00D03374" w14:paraId="37545ABF" w14:textId="77777777" w:rsidTr="007A13D5">
        <w:trPr>
          <w:trHeight w:val="424"/>
        </w:trPr>
        <w:tc>
          <w:tcPr>
            <w:tcW w:w="979" w:type="dxa"/>
            <w:vMerge/>
          </w:tcPr>
          <w:p w14:paraId="267D3B51" w14:textId="77777777" w:rsidR="00F35CA5" w:rsidRPr="00D03374" w:rsidRDefault="00F35CA5" w:rsidP="007A13D5">
            <w:pPr>
              <w:rPr>
                <w:rFonts w:ascii="Calibri" w:hAnsi="Calibri" w:cs="Calibri"/>
                <w:sz w:val="18"/>
                <w:szCs w:val="18"/>
              </w:rPr>
            </w:pPr>
          </w:p>
        </w:tc>
        <w:tc>
          <w:tcPr>
            <w:tcW w:w="3311" w:type="dxa"/>
            <w:vMerge/>
          </w:tcPr>
          <w:p w14:paraId="2D595F61" w14:textId="77777777" w:rsidR="00F35CA5" w:rsidRPr="00D03374" w:rsidRDefault="00F35CA5" w:rsidP="007A13D5">
            <w:pPr>
              <w:rPr>
                <w:rFonts w:ascii="Calibri" w:hAnsi="Calibri" w:cs="Calibri"/>
                <w:sz w:val="18"/>
                <w:szCs w:val="18"/>
              </w:rPr>
            </w:pPr>
          </w:p>
        </w:tc>
        <w:tc>
          <w:tcPr>
            <w:tcW w:w="1456" w:type="dxa"/>
            <w:vMerge/>
          </w:tcPr>
          <w:p w14:paraId="58ACD49E" w14:textId="77777777" w:rsidR="00F35CA5" w:rsidRPr="00D03374" w:rsidRDefault="00F35CA5" w:rsidP="007A13D5">
            <w:pPr>
              <w:rPr>
                <w:rFonts w:ascii="Calibri" w:hAnsi="Calibri" w:cs="Calibri"/>
                <w:sz w:val="18"/>
                <w:szCs w:val="18"/>
              </w:rPr>
            </w:pPr>
          </w:p>
        </w:tc>
        <w:tc>
          <w:tcPr>
            <w:tcW w:w="1809" w:type="dxa"/>
            <w:vMerge/>
          </w:tcPr>
          <w:p w14:paraId="79659D11" w14:textId="77777777" w:rsidR="00F35CA5" w:rsidRPr="00D03374" w:rsidRDefault="00F35CA5" w:rsidP="007A13D5">
            <w:pPr>
              <w:rPr>
                <w:rFonts w:ascii="Calibri" w:hAnsi="Calibri" w:cs="Calibri"/>
                <w:sz w:val="18"/>
                <w:szCs w:val="18"/>
              </w:rPr>
            </w:pPr>
          </w:p>
        </w:tc>
        <w:tc>
          <w:tcPr>
            <w:tcW w:w="1795" w:type="dxa"/>
          </w:tcPr>
          <w:p w14:paraId="4A47960D"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KOBC 208</w:t>
            </w:r>
          </w:p>
        </w:tc>
      </w:tr>
      <w:tr w:rsidR="00F35CA5" w:rsidRPr="00D03374" w14:paraId="65F571AB" w14:textId="77777777" w:rsidTr="007A13D5">
        <w:trPr>
          <w:trHeight w:val="424"/>
        </w:trPr>
        <w:tc>
          <w:tcPr>
            <w:tcW w:w="979" w:type="dxa"/>
            <w:vMerge/>
          </w:tcPr>
          <w:p w14:paraId="3A2A2C0D" w14:textId="77777777" w:rsidR="00F35CA5" w:rsidRPr="00D03374" w:rsidRDefault="00F35CA5" w:rsidP="007A13D5">
            <w:pPr>
              <w:rPr>
                <w:rFonts w:ascii="Calibri" w:hAnsi="Calibri" w:cs="Calibri"/>
                <w:sz w:val="18"/>
                <w:szCs w:val="18"/>
              </w:rPr>
            </w:pPr>
          </w:p>
        </w:tc>
        <w:tc>
          <w:tcPr>
            <w:tcW w:w="3311" w:type="dxa"/>
            <w:vMerge/>
          </w:tcPr>
          <w:p w14:paraId="7EE8C051" w14:textId="77777777" w:rsidR="00F35CA5" w:rsidRPr="00D03374" w:rsidRDefault="00F35CA5" w:rsidP="007A13D5">
            <w:pPr>
              <w:rPr>
                <w:rFonts w:ascii="Calibri" w:hAnsi="Calibri" w:cs="Calibri"/>
                <w:sz w:val="18"/>
                <w:szCs w:val="18"/>
              </w:rPr>
            </w:pPr>
          </w:p>
        </w:tc>
        <w:tc>
          <w:tcPr>
            <w:tcW w:w="1456" w:type="dxa"/>
            <w:vMerge/>
          </w:tcPr>
          <w:p w14:paraId="4226DC36" w14:textId="77777777" w:rsidR="00F35CA5" w:rsidRPr="00D03374" w:rsidRDefault="00F35CA5" w:rsidP="007A13D5">
            <w:pPr>
              <w:rPr>
                <w:rFonts w:ascii="Calibri" w:hAnsi="Calibri" w:cs="Calibri"/>
                <w:sz w:val="18"/>
                <w:szCs w:val="18"/>
              </w:rPr>
            </w:pPr>
          </w:p>
        </w:tc>
        <w:tc>
          <w:tcPr>
            <w:tcW w:w="1809" w:type="dxa"/>
            <w:vMerge/>
          </w:tcPr>
          <w:p w14:paraId="67DAD5F6" w14:textId="77777777" w:rsidR="00F35CA5" w:rsidRPr="00D03374" w:rsidRDefault="00F35CA5" w:rsidP="007A13D5">
            <w:pPr>
              <w:rPr>
                <w:rFonts w:ascii="Calibri" w:hAnsi="Calibri" w:cs="Calibri"/>
                <w:sz w:val="18"/>
                <w:szCs w:val="18"/>
              </w:rPr>
            </w:pPr>
          </w:p>
        </w:tc>
        <w:tc>
          <w:tcPr>
            <w:tcW w:w="1795" w:type="dxa"/>
          </w:tcPr>
          <w:p w14:paraId="514F301C"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Yes</w:t>
            </w:r>
          </w:p>
        </w:tc>
      </w:tr>
      <w:tr w:rsidR="00F35CA5" w:rsidRPr="00D03374" w14:paraId="0DEDFF3A" w14:textId="77777777" w:rsidTr="007A13D5">
        <w:trPr>
          <w:trHeight w:val="425"/>
        </w:trPr>
        <w:tc>
          <w:tcPr>
            <w:tcW w:w="979" w:type="dxa"/>
            <w:vMerge w:val="restart"/>
          </w:tcPr>
          <w:p w14:paraId="1416A29D" w14:textId="77777777" w:rsidR="00F35CA5" w:rsidRPr="00D03374" w:rsidRDefault="00F35CA5"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6</w:t>
            </w:r>
          </w:p>
        </w:tc>
        <w:tc>
          <w:tcPr>
            <w:tcW w:w="3311" w:type="dxa"/>
            <w:vMerge w:val="restart"/>
          </w:tcPr>
          <w:p w14:paraId="43690D51"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The Effects of Carbon Nanodots on Ultrasonic Vocalizations and Other Behaviors of C57BL/6J mice.</w:t>
            </w:r>
          </w:p>
        </w:tc>
        <w:tc>
          <w:tcPr>
            <w:tcW w:w="1456" w:type="dxa"/>
            <w:vMerge w:val="restart"/>
          </w:tcPr>
          <w:p w14:paraId="3030C3AE"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Delicia Esther Cardenas Vasquez1, Keith M. Erikson 2, Isabella Pack1, Steve Fordahl2, Chenhao Tang1, Kristina El-Khouri2, Tucker Philbrook1,  Radmila Petric1,3* and Zhenquan Jia1*</w:t>
            </w:r>
          </w:p>
        </w:tc>
        <w:tc>
          <w:tcPr>
            <w:tcW w:w="1809" w:type="dxa"/>
            <w:vMerge w:val="restart"/>
          </w:tcPr>
          <w:p w14:paraId="59CFA939"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1 Department of Biology, University of North Carolina at Greensboro, NC 27401, USA,  2 Department of Nutrition, University of North Carolina at Greensboro, NC 27401, USA,  3. Institute for the Environment, University of North Carolina at Chapel-Hill, NC 27517, USA</w:t>
            </w:r>
          </w:p>
        </w:tc>
        <w:tc>
          <w:tcPr>
            <w:tcW w:w="1795" w:type="dxa"/>
          </w:tcPr>
          <w:p w14:paraId="0E9BE6B2"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10:30-10:45 AM</w:t>
            </w:r>
          </w:p>
        </w:tc>
      </w:tr>
      <w:tr w:rsidR="00F35CA5" w:rsidRPr="00D03374" w14:paraId="6407FD2E" w14:textId="77777777" w:rsidTr="007A13D5">
        <w:trPr>
          <w:trHeight w:val="424"/>
        </w:trPr>
        <w:tc>
          <w:tcPr>
            <w:tcW w:w="979" w:type="dxa"/>
            <w:vMerge/>
          </w:tcPr>
          <w:p w14:paraId="7E650F43" w14:textId="77777777" w:rsidR="00F35CA5" w:rsidRPr="00D03374" w:rsidRDefault="00F35CA5" w:rsidP="007A13D5">
            <w:pPr>
              <w:rPr>
                <w:rFonts w:ascii="Calibri" w:hAnsi="Calibri" w:cs="Calibri"/>
                <w:sz w:val="18"/>
                <w:szCs w:val="18"/>
              </w:rPr>
            </w:pPr>
          </w:p>
        </w:tc>
        <w:tc>
          <w:tcPr>
            <w:tcW w:w="3311" w:type="dxa"/>
            <w:vMerge/>
          </w:tcPr>
          <w:p w14:paraId="06076A37" w14:textId="77777777" w:rsidR="00F35CA5" w:rsidRPr="00D03374" w:rsidRDefault="00F35CA5" w:rsidP="007A13D5">
            <w:pPr>
              <w:rPr>
                <w:rFonts w:ascii="Calibri" w:hAnsi="Calibri" w:cs="Calibri"/>
                <w:sz w:val="18"/>
                <w:szCs w:val="18"/>
              </w:rPr>
            </w:pPr>
          </w:p>
        </w:tc>
        <w:tc>
          <w:tcPr>
            <w:tcW w:w="1456" w:type="dxa"/>
            <w:vMerge/>
          </w:tcPr>
          <w:p w14:paraId="6582709B" w14:textId="77777777" w:rsidR="00F35CA5" w:rsidRPr="00D03374" w:rsidRDefault="00F35CA5" w:rsidP="007A13D5">
            <w:pPr>
              <w:rPr>
                <w:rFonts w:ascii="Calibri" w:hAnsi="Calibri" w:cs="Calibri"/>
                <w:sz w:val="18"/>
                <w:szCs w:val="18"/>
              </w:rPr>
            </w:pPr>
          </w:p>
        </w:tc>
        <w:tc>
          <w:tcPr>
            <w:tcW w:w="1809" w:type="dxa"/>
            <w:vMerge/>
          </w:tcPr>
          <w:p w14:paraId="5826E617" w14:textId="77777777" w:rsidR="00F35CA5" w:rsidRPr="00D03374" w:rsidRDefault="00F35CA5" w:rsidP="007A13D5">
            <w:pPr>
              <w:rPr>
                <w:rFonts w:ascii="Calibri" w:hAnsi="Calibri" w:cs="Calibri"/>
                <w:sz w:val="18"/>
                <w:szCs w:val="18"/>
              </w:rPr>
            </w:pPr>
          </w:p>
        </w:tc>
        <w:tc>
          <w:tcPr>
            <w:tcW w:w="1795" w:type="dxa"/>
          </w:tcPr>
          <w:p w14:paraId="6755DCE4"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KOBC 208</w:t>
            </w:r>
          </w:p>
        </w:tc>
      </w:tr>
      <w:tr w:rsidR="00F35CA5" w:rsidRPr="00D03374" w14:paraId="7B84D2BC" w14:textId="77777777" w:rsidTr="007A13D5">
        <w:trPr>
          <w:trHeight w:val="424"/>
        </w:trPr>
        <w:tc>
          <w:tcPr>
            <w:tcW w:w="979" w:type="dxa"/>
            <w:vMerge/>
          </w:tcPr>
          <w:p w14:paraId="2188AC33" w14:textId="77777777" w:rsidR="00F35CA5" w:rsidRPr="00D03374" w:rsidRDefault="00F35CA5" w:rsidP="007A13D5">
            <w:pPr>
              <w:rPr>
                <w:rFonts w:ascii="Calibri" w:hAnsi="Calibri" w:cs="Calibri"/>
                <w:sz w:val="18"/>
                <w:szCs w:val="18"/>
              </w:rPr>
            </w:pPr>
          </w:p>
        </w:tc>
        <w:tc>
          <w:tcPr>
            <w:tcW w:w="3311" w:type="dxa"/>
            <w:vMerge/>
          </w:tcPr>
          <w:p w14:paraId="1342D5E1" w14:textId="77777777" w:rsidR="00F35CA5" w:rsidRPr="00D03374" w:rsidRDefault="00F35CA5" w:rsidP="007A13D5">
            <w:pPr>
              <w:rPr>
                <w:rFonts w:ascii="Calibri" w:hAnsi="Calibri" w:cs="Calibri"/>
                <w:sz w:val="18"/>
                <w:szCs w:val="18"/>
              </w:rPr>
            </w:pPr>
          </w:p>
        </w:tc>
        <w:tc>
          <w:tcPr>
            <w:tcW w:w="1456" w:type="dxa"/>
            <w:vMerge/>
          </w:tcPr>
          <w:p w14:paraId="0613D8CE" w14:textId="77777777" w:rsidR="00F35CA5" w:rsidRPr="00D03374" w:rsidRDefault="00F35CA5" w:rsidP="007A13D5">
            <w:pPr>
              <w:rPr>
                <w:rFonts w:ascii="Calibri" w:hAnsi="Calibri" w:cs="Calibri"/>
                <w:sz w:val="18"/>
                <w:szCs w:val="18"/>
              </w:rPr>
            </w:pPr>
          </w:p>
        </w:tc>
        <w:tc>
          <w:tcPr>
            <w:tcW w:w="1809" w:type="dxa"/>
            <w:vMerge/>
          </w:tcPr>
          <w:p w14:paraId="427115ED" w14:textId="77777777" w:rsidR="00F35CA5" w:rsidRPr="00D03374" w:rsidRDefault="00F35CA5" w:rsidP="007A13D5">
            <w:pPr>
              <w:rPr>
                <w:rFonts w:ascii="Calibri" w:hAnsi="Calibri" w:cs="Calibri"/>
                <w:sz w:val="18"/>
                <w:szCs w:val="18"/>
              </w:rPr>
            </w:pPr>
          </w:p>
        </w:tc>
        <w:tc>
          <w:tcPr>
            <w:tcW w:w="1795" w:type="dxa"/>
          </w:tcPr>
          <w:p w14:paraId="0762FCB1"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No</w:t>
            </w:r>
          </w:p>
        </w:tc>
      </w:tr>
      <w:tr w:rsidR="00F35CA5" w:rsidRPr="00D03374" w14:paraId="2485BAC5" w14:textId="77777777" w:rsidTr="007A13D5">
        <w:trPr>
          <w:trHeight w:val="425"/>
        </w:trPr>
        <w:tc>
          <w:tcPr>
            <w:tcW w:w="979" w:type="dxa"/>
            <w:vMerge w:val="restart"/>
          </w:tcPr>
          <w:p w14:paraId="31957E98" w14:textId="77777777" w:rsidR="00F35CA5" w:rsidRPr="00D03374" w:rsidRDefault="00F35CA5"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7</w:t>
            </w:r>
          </w:p>
        </w:tc>
        <w:tc>
          <w:tcPr>
            <w:tcW w:w="3311" w:type="dxa"/>
            <w:vMerge w:val="restart"/>
          </w:tcPr>
          <w:p w14:paraId="4F265047"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Assessing the Impact of Drought Stress on the Diversity and Carbon Source Utilization of the Fava Bean (</w:t>
            </w:r>
            <w:r w:rsidRPr="00E062B3">
              <w:rPr>
                <w:rFonts w:ascii="Calibri" w:hAnsi="Calibri" w:cs="Calibri"/>
                <w:i/>
                <w:iCs/>
                <w:noProof/>
                <w:sz w:val="18"/>
                <w:szCs w:val="18"/>
              </w:rPr>
              <w:t>Vicia faba</w:t>
            </w:r>
            <w:r w:rsidRPr="001362AE">
              <w:rPr>
                <w:rFonts w:ascii="Calibri" w:hAnsi="Calibri" w:cs="Calibri"/>
                <w:noProof/>
                <w:sz w:val="18"/>
                <w:szCs w:val="18"/>
              </w:rPr>
              <w:t>) Rhizosphere Bacteria</w:t>
            </w:r>
          </w:p>
        </w:tc>
        <w:tc>
          <w:tcPr>
            <w:tcW w:w="1456" w:type="dxa"/>
            <w:vMerge w:val="restart"/>
          </w:tcPr>
          <w:p w14:paraId="0BE2A371"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Albano, Rocco*</w:t>
            </w:r>
          </w:p>
        </w:tc>
        <w:tc>
          <w:tcPr>
            <w:tcW w:w="1809" w:type="dxa"/>
            <w:vMerge w:val="restart"/>
          </w:tcPr>
          <w:p w14:paraId="10A4CBE5"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1D2EB941"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10:45-11:00 AM</w:t>
            </w:r>
          </w:p>
        </w:tc>
      </w:tr>
      <w:tr w:rsidR="00F35CA5" w:rsidRPr="00D03374" w14:paraId="2427FAFF" w14:textId="77777777" w:rsidTr="007A13D5">
        <w:trPr>
          <w:trHeight w:val="424"/>
        </w:trPr>
        <w:tc>
          <w:tcPr>
            <w:tcW w:w="979" w:type="dxa"/>
            <w:vMerge/>
          </w:tcPr>
          <w:p w14:paraId="395AEE56" w14:textId="77777777" w:rsidR="00F35CA5" w:rsidRPr="00D03374" w:rsidRDefault="00F35CA5" w:rsidP="007A13D5">
            <w:pPr>
              <w:rPr>
                <w:rFonts w:ascii="Calibri" w:hAnsi="Calibri" w:cs="Calibri"/>
                <w:sz w:val="18"/>
                <w:szCs w:val="18"/>
              </w:rPr>
            </w:pPr>
          </w:p>
        </w:tc>
        <w:tc>
          <w:tcPr>
            <w:tcW w:w="3311" w:type="dxa"/>
            <w:vMerge/>
          </w:tcPr>
          <w:p w14:paraId="707619C1" w14:textId="77777777" w:rsidR="00F35CA5" w:rsidRPr="00D03374" w:rsidRDefault="00F35CA5" w:rsidP="007A13D5">
            <w:pPr>
              <w:rPr>
                <w:rFonts w:ascii="Calibri" w:hAnsi="Calibri" w:cs="Calibri"/>
                <w:sz w:val="18"/>
                <w:szCs w:val="18"/>
              </w:rPr>
            </w:pPr>
          </w:p>
        </w:tc>
        <w:tc>
          <w:tcPr>
            <w:tcW w:w="1456" w:type="dxa"/>
            <w:vMerge/>
          </w:tcPr>
          <w:p w14:paraId="7DC6EA02" w14:textId="77777777" w:rsidR="00F35CA5" w:rsidRPr="00D03374" w:rsidRDefault="00F35CA5" w:rsidP="007A13D5">
            <w:pPr>
              <w:rPr>
                <w:rFonts w:ascii="Calibri" w:hAnsi="Calibri" w:cs="Calibri"/>
                <w:sz w:val="18"/>
                <w:szCs w:val="18"/>
              </w:rPr>
            </w:pPr>
          </w:p>
        </w:tc>
        <w:tc>
          <w:tcPr>
            <w:tcW w:w="1809" w:type="dxa"/>
            <w:vMerge/>
          </w:tcPr>
          <w:p w14:paraId="530C5A51" w14:textId="77777777" w:rsidR="00F35CA5" w:rsidRPr="00D03374" w:rsidRDefault="00F35CA5" w:rsidP="007A13D5">
            <w:pPr>
              <w:rPr>
                <w:rFonts w:ascii="Calibri" w:hAnsi="Calibri" w:cs="Calibri"/>
                <w:sz w:val="18"/>
                <w:szCs w:val="18"/>
              </w:rPr>
            </w:pPr>
          </w:p>
        </w:tc>
        <w:tc>
          <w:tcPr>
            <w:tcW w:w="1795" w:type="dxa"/>
          </w:tcPr>
          <w:p w14:paraId="1BF1BE8D"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KOBC 208</w:t>
            </w:r>
          </w:p>
        </w:tc>
      </w:tr>
      <w:tr w:rsidR="00F35CA5" w:rsidRPr="00D03374" w14:paraId="7E9DC02F" w14:textId="77777777" w:rsidTr="007A13D5">
        <w:trPr>
          <w:trHeight w:val="424"/>
        </w:trPr>
        <w:tc>
          <w:tcPr>
            <w:tcW w:w="979" w:type="dxa"/>
            <w:vMerge/>
          </w:tcPr>
          <w:p w14:paraId="2CD4BEF6" w14:textId="77777777" w:rsidR="00F35CA5" w:rsidRPr="00D03374" w:rsidRDefault="00F35CA5" w:rsidP="007A13D5">
            <w:pPr>
              <w:rPr>
                <w:rFonts w:ascii="Calibri" w:hAnsi="Calibri" w:cs="Calibri"/>
                <w:sz w:val="18"/>
                <w:szCs w:val="18"/>
              </w:rPr>
            </w:pPr>
          </w:p>
        </w:tc>
        <w:tc>
          <w:tcPr>
            <w:tcW w:w="3311" w:type="dxa"/>
            <w:vMerge/>
          </w:tcPr>
          <w:p w14:paraId="78AEB14A" w14:textId="77777777" w:rsidR="00F35CA5" w:rsidRPr="00D03374" w:rsidRDefault="00F35CA5" w:rsidP="007A13D5">
            <w:pPr>
              <w:rPr>
                <w:rFonts w:ascii="Calibri" w:hAnsi="Calibri" w:cs="Calibri"/>
                <w:sz w:val="18"/>
                <w:szCs w:val="18"/>
              </w:rPr>
            </w:pPr>
          </w:p>
        </w:tc>
        <w:tc>
          <w:tcPr>
            <w:tcW w:w="1456" w:type="dxa"/>
            <w:vMerge/>
          </w:tcPr>
          <w:p w14:paraId="60D4607D" w14:textId="77777777" w:rsidR="00F35CA5" w:rsidRPr="00D03374" w:rsidRDefault="00F35CA5" w:rsidP="007A13D5">
            <w:pPr>
              <w:rPr>
                <w:rFonts w:ascii="Calibri" w:hAnsi="Calibri" w:cs="Calibri"/>
                <w:sz w:val="18"/>
                <w:szCs w:val="18"/>
              </w:rPr>
            </w:pPr>
          </w:p>
        </w:tc>
        <w:tc>
          <w:tcPr>
            <w:tcW w:w="1809" w:type="dxa"/>
            <w:vMerge/>
          </w:tcPr>
          <w:p w14:paraId="4E8677F2" w14:textId="77777777" w:rsidR="00F35CA5" w:rsidRPr="00D03374" w:rsidRDefault="00F35CA5" w:rsidP="007A13D5">
            <w:pPr>
              <w:rPr>
                <w:rFonts w:ascii="Calibri" w:hAnsi="Calibri" w:cs="Calibri"/>
                <w:sz w:val="18"/>
                <w:szCs w:val="18"/>
              </w:rPr>
            </w:pPr>
          </w:p>
        </w:tc>
        <w:tc>
          <w:tcPr>
            <w:tcW w:w="1795" w:type="dxa"/>
          </w:tcPr>
          <w:p w14:paraId="17B46545" w14:textId="77777777" w:rsidR="00F35CA5" w:rsidRPr="00D03374" w:rsidRDefault="00F35CA5" w:rsidP="007A13D5">
            <w:pPr>
              <w:rPr>
                <w:rFonts w:ascii="Calibri" w:hAnsi="Calibri" w:cs="Calibri"/>
                <w:sz w:val="18"/>
                <w:szCs w:val="18"/>
              </w:rPr>
            </w:pPr>
            <w:r w:rsidRPr="001362AE">
              <w:rPr>
                <w:rFonts w:ascii="Calibri" w:hAnsi="Calibri" w:cs="Calibri"/>
                <w:noProof/>
                <w:sz w:val="18"/>
                <w:szCs w:val="18"/>
              </w:rPr>
              <w:t>Yes</w:t>
            </w:r>
          </w:p>
        </w:tc>
      </w:tr>
    </w:tbl>
    <w:p w14:paraId="05EB919F" w14:textId="7E7A17A7" w:rsidR="00F35CA5" w:rsidRDefault="002114D5" w:rsidP="002114D5">
      <w:pPr>
        <w:jc w:val="center"/>
      </w:pPr>
      <w:hyperlink w:anchor="TableofContents" w:history="1">
        <w:r w:rsidRPr="00B051AC">
          <w:rPr>
            <w:rStyle w:val="Hyperlink"/>
            <w:rFonts w:ascii="Calibri" w:hAnsi="Calibri" w:cs="Calibri"/>
            <w:b/>
            <w:bCs/>
            <w:kern w:val="0"/>
            <w:sz w:val="22"/>
            <w:szCs w:val="22"/>
          </w:rPr>
          <w:t>Return to Table of Contents</w:t>
        </w:r>
      </w:hyperlink>
    </w:p>
    <w:p w14:paraId="387FA553" w14:textId="77777777" w:rsidR="00363A58" w:rsidRDefault="00363A58" w:rsidP="002114D5">
      <w:pPr>
        <w:jc w:val="center"/>
        <w:rPr>
          <w:rFonts w:ascii="Calibri" w:hAnsi="Calibri" w:cs="Calibri"/>
          <w:b/>
          <w:bCs/>
          <w:color w:val="000000"/>
          <w:kern w:val="0"/>
          <w:sz w:val="22"/>
          <w:szCs w:val="22"/>
        </w:rPr>
      </w:pPr>
    </w:p>
    <w:p w14:paraId="696446E2" w14:textId="77777777" w:rsidR="00363A58" w:rsidRPr="002114D5" w:rsidRDefault="00363A58" w:rsidP="002114D5">
      <w:pPr>
        <w:jc w:val="center"/>
        <w:rPr>
          <w:rFonts w:ascii="Calibri" w:hAnsi="Calibri" w:cs="Calibri"/>
          <w:b/>
          <w:bCs/>
          <w:color w:val="000000"/>
          <w:kern w:val="0"/>
          <w:sz w:val="22"/>
          <w:szCs w:val="22"/>
        </w:rPr>
      </w:pPr>
    </w:p>
    <w:tbl>
      <w:tblPr>
        <w:tblStyle w:val="TableGridLight"/>
        <w:tblW w:w="9350" w:type="dxa"/>
        <w:tblLook w:val="04A0" w:firstRow="1" w:lastRow="0" w:firstColumn="1" w:lastColumn="0" w:noHBand="0" w:noVBand="1"/>
      </w:tblPr>
      <w:tblGrid>
        <w:gridCol w:w="979"/>
        <w:gridCol w:w="3311"/>
        <w:gridCol w:w="1456"/>
        <w:gridCol w:w="1809"/>
        <w:gridCol w:w="1795"/>
      </w:tblGrid>
      <w:tr w:rsidR="00DC5AB4" w:rsidRPr="00D03374" w14:paraId="3F77110B" w14:textId="77777777" w:rsidTr="007A13D5">
        <w:trPr>
          <w:trHeight w:val="425"/>
        </w:trPr>
        <w:tc>
          <w:tcPr>
            <w:tcW w:w="9350" w:type="dxa"/>
            <w:gridSpan w:val="5"/>
            <w:shd w:val="clear" w:color="auto" w:fill="A5C9EB" w:themeFill="text2" w:themeFillTint="40"/>
          </w:tcPr>
          <w:p w14:paraId="3210897B" w14:textId="0A8C765F" w:rsidR="00DC5AB4" w:rsidRPr="00340E15" w:rsidRDefault="00DC5AB4" w:rsidP="007A13D5">
            <w:pPr>
              <w:rPr>
                <w:rFonts w:ascii="Calibri" w:hAnsi="Calibri" w:cs="Calibri"/>
                <w:noProof/>
                <w:sz w:val="28"/>
                <w:szCs w:val="28"/>
              </w:rPr>
            </w:pPr>
            <w:r w:rsidRPr="001362AE">
              <w:rPr>
                <w:rFonts w:ascii="Calibri" w:hAnsi="Calibri" w:cs="Calibri"/>
                <w:noProof/>
                <w:sz w:val="28"/>
                <w:szCs w:val="28"/>
              </w:rPr>
              <w:lastRenderedPageBreak/>
              <w:t xml:space="preserve">Oral Session </w:t>
            </w:r>
            <w:r w:rsidR="003754F2">
              <w:rPr>
                <w:rFonts w:ascii="Calibri" w:hAnsi="Calibri" w:cs="Calibri"/>
                <w:noProof/>
                <w:sz w:val="28"/>
                <w:szCs w:val="28"/>
              </w:rPr>
              <w:t>2C–</w:t>
            </w:r>
            <w:r w:rsidRPr="00340E15">
              <w:rPr>
                <w:rFonts w:ascii="Calibri" w:hAnsi="Calibri" w:cs="Calibri"/>
                <w:noProof/>
                <w:sz w:val="28"/>
                <w:szCs w:val="28"/>
              </w:rPr>
              <w:t>KOBC 211</w:t>
            </w:r>
          </w:p>
        </w:tc>
      </w:tr>
      <w:tr w:rsidR="00DC5AB4" w:rsidRPr="00D03374" w14:paraId="033189F3" w14:textId="77777777" w:rsidTr="007A13D5">
        <w:trPr>
          <w:trHeight w:hRule="exact" w:val="288"/>
        </w:trPr>
        <w:tc>
          <w:tcPr>
            <w:tcW w:w="9350" w:type="dxa"/>
            <w:gridSpan w:val="5"/>
            <w:tcBorders>
              <w:bottom w:val="single" w:sz="4" w:space="0" w:color="BFBFBF" w:themeColor="background1" w:themeShade="BF"/>
            </w:tcBorders>
            <w:shd w:val="clear" w:color="auto" w:fill="F2CEED" w:themeFill="accent5" w:themeFillTint="33"/>
          </w:tcPr>
          <w:p w14:paraId="55D5B946" w14:textId="77777777" w:rsidR="00DC5AB4" w:rsidRPr="00340E15" w:rsidRDefault="00DC5AB4" w:rsidP="007A13D5">
            <w:pPr>
              <w:rPr>
                <w:rFonts w:ascii="Calibri" w:hAnsi="Calibri" w:cs="Calibri"/>
                <w:noProof/>
                <w:sz w:val="22"/>
                <w:szCs w:val="22"/>
              </w:rPr>
            </w:pPr>
            <w:r w:rsidRPr="00340E15">
              <w:rPr>
                <w:rFonts w:ascii="Calibri" w:hAnsi="Calibri" w:cs="Calibri"/>
                <w:noProof/>
                <w:sz w:val="22"/>
                <w:szCs w:val="22"/>
              </w:rPr>
              <w:t xml:space="preserve">Section:  </w:t>
            </w:r>
            <w:bookmarkStart w:id="21" w:name="OralPresentationMthStatCS"/>
            <w:r w:rsidRPr="001362AE">
              <w:rPr>
                <w:rFonts w:ascii="Calibri" w:hAnsi="Calibri" w:cs="Calibri"/>
                <w:noProof/>
                <w:sz w:val="22"/>
                <w:szCs w:val="22"/>
              </w:rPr>
              <w:t>Mathematics, Statistics &amp; Computer Science</w:t>
            </w:r>
            <w:bookmarkEnd w:id="21"/>
          </w:p>
        </w:tc>
      </w:tr>
      <w:tr w:rsidR="00DC5AB4" w:rsidRPr="00D03374" w14:paraId="72C64FBB" w14:textId="77777777" w:rsidTr="007A13D5">
        <w:trPr>
          <w:trHeight w:hRule="exact" w:val="288"/>
        </w:trPr>
        <w:tc>
          <w:tcPr>
            <w:tcW w:w="979" w:type="dxa"/>
            <w:shd w:val="clear" w:color="auto" w:fill="D9F2D0" w:themeFill="accent6" w:themeFillTint="33"/>
          </w:tcPr>
          <w:p w14:paraId="1E85E8C0" w14:textId="77777777" w:rsidR="00DC5AB4" w:rsidRDefault="00DC5AB4" w:rsidP="007A13D5">
            <w:pPr>
              <w:rPr>
                <w:rFonts w:ascii="Calibri" w:hAnsi="Calibri" w:cs="Calibri"/>
                <w:noProof/>
                <w:sz w:val="18"/>
                <w:szCs w:val="18"/>
              </w:rPr>
            </w:pPr>
            <w:r>
              <w:rPr>
                <w:rFonts w:ascii="Calibri" w:hAnsi="Calibri" w:cs="Calibri"/>
                <w:noProof/>
                <w:sz w:val="18"/>
                <w:szCs w:val="18"/>
              </w:rPr>
              <w:t>Abstract #</w:t>
            </w:r>
          </w:p>
          <w:p w14:paraId="123ECD72" w14:textId="77777777" w:rsidR="00DC5AB4" w:rsidRDefault="00DC5AB4" w:rsidP="007A13D5">
            <w:pPr>
              <w:rPr>
                <w:rFonts w:ascii="Calibri" w:hAnsi="Calibri" w:cs="Calibri"/>
                <w:noProof/>
                <w:sz w:val="18"/>
                <w:szCs w:val="18"/>
              </w:rPr>
            </w:pPr>
          </w:p>
        </w:tc>
        <w:tc>
          <w:tcPr>
            <w:tcW w:w="3311" w:type="dxa"/>
            <w:shd w:val="clear" w:color="auto" w:fill="D9F2D0" w:themeFill="accent6" w:themeFillTint="33"/>
          </w:tcPr>
          <w:p w14:paraId="0E5C41AB" w14:textId="77777777" w:rsidR="00DC5AB4" w:rsidRPr="00D03374" w:rsidRDefault="00DC5AB4" w:rsidP="007A13D5">
            <w:pPr>
              <w:rPr>
                <w:rFonts w:ascii="Calibri" w:hAnsi="Calibri" w:cs="Calibri"/>
                <w:noProof/>
                <w:sz w:val="18"/>
                <w:szCs w:val="18"/>
              </w:rPr>
            </w:pPr>
            <w:r>
              <w:rPr>
                <w:rFonts w:ascii="Calibri" w:hAnsi="Calibri" w:cs="Calibri"/>
                <w:noProof/>
                <w:sz w:val="18"/>
                <w:szCs w:val="18"/>
              </w:rPr>
              <w:t>Title</w:t>
            </w:r>
          </w:p>
        </w:tc>
        <w:tc>
          <w:tcPr>
            <w:tcW w:w="1456" w:type="dxa"/>
            <w:shd w:val="clear" w:color="auto" w:fill="D9F2D0" w:themeFill="accent6" w:themeFillTint="33"/>
          </w:tcPr>
          <w:p w14:paraId="044FF9E4" w14:textId="77777777" w:rsidR="00DC5AB4" w:rsidRDefault="00DC5AB4" w:rsidP="007A13D5">
            <w:pPr>
              <w:rPr>
                <w:rFonts w:ascii="Calibri" w:hAnsi="Calibri" w:cs="Calibri"/>
                <w:noProof/>
                <w:sz w:val="18"/>
                <w:szCs w:val="18"/>
              </w:rPr>
            </w:pPr>
            <w:r>
              <w:rPr>
                <w:rFonts w:ascii="Calibri" w:hAnsi="Calibri" w:cs="Calibri"/>
                <w:noProof/>
                <w:sz w:val="18"/>
                <w:szCs w:val="18"/>
              </w:rPr>
              <w:t>Authors</w:t>
            </w:r>
          </w:p>
        </w:tc>
        <w:tc>
          <w:tcPr>
            <w:tcW w:w="1809" w:type="dxa"/>
            <w:shd w:val="clear" w:color="auto" w:fill="D9F2D0" w:themeFill="accent6" w:themeFillTint="33"/>
          </w:tcPr>
          <w:p w14:paraId="0B325F39" w14:textId="77777777" w:rsidR="00DC5AB4" w:rsidRDefault="00DC5AB4" w:rsidP="007A13D5">
            <w:pPr>
              <w:rPr>
                <w:rFonts w:ascii="Calibri" w:hAnsi="Calibri" w:cs="Calibri"/>
                <w:noProof/>
                <w:sz w:val="18"/>
                <w:szCs w:val="18"/>
              </w:rPr>
            </w:pPr>
            <w:r>
              <w:rPr>
                <w:rFonts w:ascii="Calibri" w:hAnsi="Calibri" w:cs="Calibri"/>
                <w:noProof/>
                <w:sz w:val="18"/>
                <w:szCs w:val="18"/>
              </w:rPr>
              <w:t>University</w:t>
            </w:r>
          </w:p>
        </w:tc>
        <w:tc>
          <w:tcPr>
            <w:tcW w:w="1795" w:type="dxa"/>
            <w:shd w:val="clear" w:color="auto" w:fill="D9F2D0" w:themeFill="accent6" w:themeFillTint="33"/>
          </w:tcPr>
          <w:p w14:paraId="267BB472" w14:textId="77777777" w:rsidR="00DC5AB4" w:rsidRDefault="00DC5AB4" w:rsidP="007A13D5">
            <w:pPr>
              <w:rPr>
                <w:rFonts w:ascii="Calibri" w:hAnsi="Calibri" w:cs="Calibri"/>
                <w:noProof/>
                <w:sz w:val="18"/>
                <w:szCs w:val="18"/>
              </w:rPr>
            </w:pPr>
            <w:r>
              <w:rPr>
                <w:rFonts w:ascii="Calibri" w:hAnsi="Calibri" w:cs="Calibri"/>
                <w:noProof/>
                <w:sz w:val="18"/>
                <w:szCs w:val="18"/>
              </w:rPr>
              <w:t>Time/Room/Derieux?</w:t>
            </w:r>
          </w:p>
        </w:tc>
      </w:tr>
      <w:tr w:rsidR="00DC5AB4" w:rsidRPr="00D03374" w14:paraId="02DF0214" w14:textId="77777777" w:rsidTr="007A13D5">
        <w:trPr>
          <w:trHeight w:val="425"/>
        </w:trPr>
        <w:tc>
          <w:tcPr>
            <w:tcW w:w="979" w:type="dxa"/>
            <w:vMerge w:val="restart"/>
          </w:tcPr>
          <w:p w14:paraId="3CED9C5D" w14:textId="77777777" w:rsidR="00DC5AB4" w:rsidRPr="00D03374" w:rsidRDefault="00DC5AB4"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2</w:t>
            </w:r>
            <w:r>
              <w:rPr>
                <w:rFonts w:ascii="Calibri" w:hAnsi="Calibri" w:cs="Calibri"/>
                <w:noProof/>
                <w:sz w:val="18"/>
                <w:szCs w:val="18"/>
              </w:rPr>
              <w:t>8</w:t>
            </w:r>
          </w:p>
        </w:tc>
        <w:tc>
          <w:tcPr>
            <w:tcW w:w="3311" w:type="dxa"/>
            <w:vMerge w:val="restart"/>
          </w:tcPr>
          <w:p w14:paraId="02947720"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A new technique for handling missing values in a deep-sea coral dataset: backfilling missing data utilizing growth rates</w:t>
            </w:r>
          </w:p>
        </w:tc>
        <w:tc>
          <w:tcPr>
            <w:tcW w:w="1456" w:type="dxa"/>
            <w:vMerge w:val="restart"/>
          </w:tcPr>
          <w:p w14:paraId="14AACA37"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Donovan, Kelly M.; Bussberg, Nicholas W.*</w:t>
            </w:r>
          </w:p>
        </w:tc>
        <w:tc>
          <w:tcPr>
            <w:tcW w:w="1809" w:type="dxa"/>
            <w:vMerge w:val="restart"/>
          </w:tcPr>
          <w:p w14:paraId="771C4D50"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13CEE2C9"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10:00-10:15 AM</w:t>
            </w:r>
          </w:p>
        </w:tc>
      </w:tr>
      <w:tr w:rsidR="00DC5AB4" w:rsidRPr="00D03374" w14:paraId="1196AB62" w14:textId="77777777" w:rsidTr="007A13D5">
        <w:trPr>
          <w:trHeight w:val="424"/>
        </w:trPr>
        <w:tc>
          <w:tcPr>
            <w:tcW w:w="979" w:type="dxa"/>
            <w:vMerge/>
          </w:tcPr>
          <w:p w14:paraId="405F7090" w14:textId="77777777" w:rsidR="00DC5AB4" w:rsidRPr="00D03374" w:rsidRDefault="00DC5AB4" w:rsidP="007A13D5">
            <w:pPr>
              <w:rPr>
                <w:rFonts w:ascii="Calibri" w:hAnsi="Calibri" w:cs="Calibri"/>
                <w:sz w:val="18"/>
                <w:szCs w:val="18"/>
              </w:rPr>
            </w:pPr>
          </w:p>
        </w:tc>
        <w:tc>
          <w:tcPr>
            <w:tcW w:w="3311" w:type="dxa"/>
            <w:vMerge/>
          </w:tcPr>
          <w:p w14:paraId="286E201B" w14:textId="77777777" w:rsidR="00DC5AB4" w:rsidRPr="00D03374" w:rsidRDefault="00DC5AB4" w:rsidP="007A13D5">
            <w:pPr>
              <w:rPr>
                <w:rFonts w:ascii="Calibri" w:hAnsi="Calibri" w:cs="Calibri"/>
                <w:sz w:val="18"/>
                <w:szCs w:val="18"/>
              </w:rPr>
            </w:pPr>
          </w:p>
        </w:tc>
        <w:tc>
          <w:tcPr>
            <w:tcW w:w="1456" w:type="dxa"/>
            <w:vMerge/>
          </w:tcPr>
          <w:p w14:paraId="23D2637B" w14:textId="77777777" w:rsidR="00DC5AB4" w:rsidRPr="00D03374" w:rsidRDefault="00DC5AB4" w:rsidP="007A13D5">
            <w:pPr>
              <w:rPr>
                <w:rFonts w:ascii="Calibri" w:hAnsi="Calibri" w:cs="Calibri"/>
                <w:sz w:val="18"/>
                <w:szCs w:val="18"/>
              </w:rPr>
            </w:pPr>
          </w:p>
        </w:tc>
        <w:tc>
          <w:tcPr>
            <w:tcW w:w="1809" w:type="dxa"/>
            <w:vMerge/>
          </w:tcPr>
          <w:p w14:paraId="593F3DF3" w14:textId="77777777" w:rsidR="00DC5AB4" w:rsidRPr="00D03374" w:rsidRDefault="00DC5AB4" w:rsidP="007A13D5">
            <w:pPr>
              <w:rPr>
                <w:rFonts w:ascii="Calibri" w:hAnsi="Calibri" w:cs="Calibri"/>
                <w:sz w:val="18"/>
                <w:szCs w:val="18"/>
              </w:rPr>
            </w:pPr>
          </w:p>
        </w:tc>
        <w:tc>
          <w:tcPr>
            <w:tcW w:w="1795" w:type="dxa"/>
          </w:tcPr>
          <w:p w14:paraId="6A386C11"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KOBC 211</w:t>
            </w:r>
          </w:p>
        </w:tc>
      </w:tr>
      <w:tr w:rsidR="00DC5AB4" w:rsidRPr="00D03374" w14:paraId="3C61EE05" w14:textId="77777777" w:rsidTr="007A13D5">
        <w:trPr>
          <w:trHeight w:val="424"/>
        </w:trPr>
        <w:tc>
          <w:tcPr>
            <w:tcW w:w="979" w:type="dxa"/>
            <w:vMerge/>
          </w:tcPr>
          <w:p w14:paraId="5C3994F5" w14:textId="77777777" w:rsidR="00DC5AB4" w:rsidRPr="00D03374" w:rsidRDefault="00DC5AB4" w:rsidP="007A13D5">
            <w:pPr>
              <w:rPr>
                <w:rFonts w:ascii="Calibri" w:hAnsi="Calibri" w:cs="Calibri"/>
                <w:sz w:val="18"/>
                <w:szCs w:val="18"/>
              </w:rPr>
            </w:pPr>
          </w:p>
        </w:tc>
        <w:tc>
          <w:tcPr>
            <w:tcW w:w="3311" w:type="dxa"/>
            <w:vMerge/>
          </w:tcPr>
          <w:p w14:paraId="28146A59" w14:textId="77777777" w:rsidR="00DC5AB4" w:rsidRPr="00D03374" w:rsidRDefault="00DC5AB4" w:rsidP="007A13D5">
            <w:pPr>
              <w:rPr>
                <w:rFonts w:ascii="Calibri" w:hAnsi="Calibri" w:cs="Calibri"/>
                <w:sz w:val="18"/>
                <w:szCs w:val="18"/>
              </w:rPr>
            </w:pPr>
          </w:p>
        </w:tc>
        <w:tc>
          <w:tcPr>
            <w:tcW w:w="1456" w:type="dxa"/>
            <w:vMerge/>
          </w:tcPr>
          <w:p w14:paraId="3240AF06" w14:textId="77777777" w:rsidR="00DC5AB4" w:rsidRPr="00D03374" w:rsidRDefault="00DC5AB4" w:rsidP="007A13D5">
            <w:pPr>
              <w:rPr>
                <w:rFonts w:ascii="Calibri" w:hAnsi="Calibri" w:cs="Calibri"/>
                <w:sz w:val="18"/>
                <w:szCs w:val="18"/>
              </w:rPr>
            </w:pPr>
          </w:p>
        </w:tc>
        <w:tc>
          <w:tcPr>
            <w:tcW w:w="1809" w:type="dxa"/>
            <w:vMerge/>
          </w:tcPr>
          <w:p w14:paraId="76875916" w14:textId="77777777" w:rsidR="00DC5AB4" w:rsidRPr="00D03374" w:rsidRDefault="00DC5AB4" w:rsidP="007A13D5">
            <w:pPr>
              <w:rPr>
                <w:rFonts w:ascii="Calibri" w:hAnsi="Calibri" w:cs="Calibri"/>
                <w:sz w:val="18"/>
                <w:szCs w:val="18"/>
              </w:rPr>
            </w:pPr>
          </w:p>
        </w:tc>
        <w:tc>
          <w:tcPr>
            <w:tcW w:w="1795" w:type="dxa"/>
          </w:tcPr>
          <w:p w14:paraId="41718E03"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No</w:t>
            </w:r>
          </w:p>
        </w:tc>
      </w:tr>
      <w:tr w:rsidR="00DC5AB4" w:rsidRPr="00D03374" w14:paraId="4F68A859" w14:textId="77777777" w:rsidTr="007A13D5">
        <w:trPr>
          <w:trHeight w:val="425"/>
        </w:trPr>
        <w:tc>
          <w:tcPr>
            <w:tcW w:w="979" w:type="dxa"/>
            <w:vMerge w:val="restart"/>
          </w:tcPr>
          <w:p w14:paraId="13F502FF" w14:textId="77777777" w:rsidR="00DC5AB4" w:rsidRPr="00D03374" w:rsidRDefault="00DC5AB4" w:rsidP="007A13D5">
            <w:pPr>
              <w:rPr>
                <w:rFonts w:ascii="Calibri" w:hAnsi="Calibri" w:cs="Calibri"/>
                <w:noProof/>
                <w:sz w:val="18"/>
                <w:szCs w:val="18"/>
              </w:rPr>
            </w:pPr>
            <w:r>
              <w:rPr>
                <w:rFonts w:ascii="Calibri" w:hAnsi="Calibri" w:cs="Calibri"/>
                <w:noProof/>
                <w:sz w:val="18"/>
                <w:szCs w:val="18"/>
              </w:rPr>
              <w:t>Oral-29</w:t>
            </w:r>
          </w:p>
        </w:tc>
        <w:tc>
          <w:tcPr>
            <w:tcW w:w="3311" w:type="dxa"/>
            <w:vMerge w:val="restart"/>
          </w:tcPr>
          <w:p w14:paraId="3980A78F"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Creating Mathematical Palindromes from the Fibonacci numbers and Linear Recursions</w:t>
            </w:r>
          </w:p>
        </w:tc>
        <w:tc>
          <w:tcPr>
            <w:tcW w:w="1456" w:type="dxa"/>
            <w:vMerge w:val="restart"/>
          </w:tcPr>
          <w:p w14:paraId="17A8F843"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Rosen, Tyler</w:t>
            </w:r>
          </w:p>
        </w:tc>
        <w:tc>
          <w:tcPr>
            <w:tcW w:w="1809" w:type="dxa"/>
            <w:vMerge w:val="restart"/>
          </w:tcPr>
          <w:p w14:paraId="4848D79D"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Elon University</w:t>
            </w:r>
          </w:p>
        </w:tc>
        <w:tc>
          <w:tcPr>
            <w:tcW w:w="1795" w:type="dxa"/>
          </w:tcPr>
          <w:p w14:paraId="2D84817F"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10:15-10:30 AM</w:t>
            </w:r>
          </w:p>
        </w:tc>
      </w:tr>
      <w:tr w:rsidR="00DC5AB4" w:rsidRPr="00D03374" w14:paraId="48F22FF5" w14:textId="77777777" w:rsidTr="007A13D5">
        <w:trPr>
          <w:trHeight w:val="424"/>
        </w:trPr>
        <w:tc>
          <w:tcPr>
            <w:tcW w:w="979" w:type="dxa"/>
            <w:vMerge/>
          </w:tcPr>
          <w:p w14:paraId="7D0F358C" w14:textId="77777777" w:rsidR="00DC5AB4" w:rsidRPr="00D03374" w:rsidRDefault="00DC5AB4" w:rsidP="007A13D5">
            <w:pPr>
              <w:rPr>
                <w:rFonts w:ascii="Calibri" w:hAnsi="Calibri" w:cs="Calibri"/>
                <w:sz w:val="18"/>
                <w:szCs w:val="18"/>
              </w:rPr>
            </w:pPr>
          </w:p>
        </w:tc>
        <w:tc>
          <w:tcPr>
            <w:tcW w:w="3311" w:type="dxa"/>
            <w:vMerge/>
          </w:tcPr>
          <w:p w14:paraId="4B86262F" w14:textId="77777777" w:rsidR="00DC5AB4" w:rsidRPr="00D03374" w:rsidRDefault="00DC5AB4" w:rsidP="007A13D5">
            <w:pPr>
              <w:rPr>
                <w:rFonts w:ascii="Calibri" w:hAnsi="Calibri" w:cs="Calibri"/>
                <w:sz w:val="18"/>
                <w:szCs w:val="18"/>
              </w:rPr>
            </w:pPr>
          </w:p>
        </w:tc>
        <w:tc>
          <w:tcPr>
            <w:tcW w:w="1456" w:type="dxa"/>
            <w:vMerge/>
          </w:tcPr>
          <w:p w14:paraId="7473A952" w14:textId="77777777" w:rsidR="00DC5AB4" w:rsidRPr="00D03374" w:rsidRDefault="00DC5AB4" w:rsidP="007A13D5">
            <w:pPr>
              <w:rPr>
                <w:rFonts w:ascii="Calibri" w:hAnsi="Calibri" w:cs="Calibri"/>
                <w:sz w:val="18"/>
                <w:szCs w:val="18"/>
              </w:rPr>
            </w:pPr>
          </w:p>
        </w:tc>
        <w:tc>
          <w:tcPr>
            <w:tcW w:w="1809" w:type="dxa"/>
            <w:vMerge/>
          </w:tcPr>
          <w:p w14:paraId="14339D3D" w14:textId="77777777" w:rsidR="00DC5AB4" w:rsidRPr="00D03374" w:rsidRDefault="00DC5AB4" w:rsidP="007A13D5">
            <w:pPr>
              <w:rPr>
                <w:rFonts w:ascii="Calibri" w:hAnsi="Calibri" w:cs="Calibri"/>
                <w:sz w:val="18"/>
                <w:szCs w:val="18"/>
              </w:rPr>
            </w:pPr>
          </w:p>
        </w:tc>
        <w:tc>
          <w:tcPr>
            <w:tcW w:w="1795" w:type="dxa"/>
          </w:tcPr>
          <w:p w14:paraId="1B23D6BF"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KOBC 211</w:t>
            </w:r>
          </w:p>
        </w:tc>
      </w:tr>
      <w:tr w:rsidR="00DC5AB4" w:rsidRPr="00D03374" w14:paraId="4CE807B0" w14:textId="77777777" w:rsidTr="007A13D5">
        <w:trPr>
          <w:trHeight w:val="424"/>
        </w:trPr>
        <w:tc>
          <w:tcPr>
            <w:tcW w:w="979" w:type="dxa"/>
            <w:vMerge/>
          </w:tcPr>
          <w:p w14:paraId="0E26AA4A" w14:textId="77777777" w:rsidR="00DC5AB4" w:rsidRPr="00D03374" w:rsidRDefault="00DC5AB4" w:rsidP="007A13D5">
            <w:pPr>
              <w:rPr>
                <w:rFonts w:ascii="Calibri" w:hAnsi="Calibri" w:cs="Calibri"/>
                <w:sz w:val="18"/>
                <w:szCs w:val="18"/>
              </w:rPr>
            </w:pPr>
          </w:p>
        </w:tc>
        <w:tc>
          <w:tcPr>
            <w:tcW w:w="3311" w:type="dxa"/>
            <w:vMerge/>
          </w:tcPr>
          <w:p w14:paraId="7C5F9C04" w14:textId="77777777" w:rsidR="00DC5AB4" w:rsidRPr="00D03374" w:rsidRDefault="00DC5AB4" w:rsidP="007A13D5">
            <w:pPr>
              <w:rPr>
                <w:rFonts w:ascii="Calibri" w:hAnsi="Calibri" w:cs="Calibri"/>
                <w:sz w:val="18"/>
                <w:szCs w:val="18"/>
              </w:rPr>
            </w:pPr>
          </w:p>
        </w:tc>
        <w:tc>
          <w:tcPr>
            <w:tcW w:w="1456" w:type="dxa"/>
            <w:vMerge/>
          </w:tcPr>
          <w:p w14:paraId="7AF13C10" w14:textId="77777777" w:rsidR="00DC5AB4" w:rsidRPr="00D03374" w:rsidRDefault="00DC5AB4" w:rsidP="007A13D5">
            <w:pPr>
              <w:rPr>
                <w:rFonts w:ascii="Calibri" w:hAnsi="Calibri" w:cs="Calibri"/>
                <w:sz w:val="18"/>
                <w:szCs w:val="18"/>
              </w:rPr>
            </w:pPr>
          </w:p>
        </w:tc>
        <w:tc>
          <w:tcPr>
            <w:tcW w:w="1809" w:type="dxa"/>
            <w:vMerge/>
          </w:tcPr>
          <w:p w14:paraId="139A2056" w14:textId="77777777" w:rsidR="00DC5AB4" w:rsidRPr="00D03374" w:rsidRDefault="00DC5AB4" w:rsidP="007A13D5">
            <w:pPr>
              <w:rPr>
                <w:rFonts w:ascii="Calibri" w:hAnsi="Calibri" w:cs="Calibri"/>
                <w:sz w:val="18"/>
                <w:szCs w:val="18"/>
              </w:rPr>
            </w:pPr>
          </w:p>
        </w:tc>
        <w:tc>
          <w:tcPr>
            <w:tcW w:w="1795" w:type="dxa"/>
          </w:tcPr>
          <w:p w14:paraId="1AD733B9"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No</w:t>
            </w:r>
          </w:p>
        </w:tc>
      </w:tr>
      <w:tr w:rsidR="00DC5AB4" w:rsidRPr="00D03374" w14:paraId="11076D94" w14:textId="77777777" w:rsidTr="007A13D5">
        <w:trPr>
          <w:trHeight w:val="425"/>
        </w:trPr>
        <w:tc>
          <w:tcPr>
            <w:tcW w:w="979" w:type="dxa"/>
            <w:vMerge w:val="restart"/>
          </w:tcPr>
          <w:p w14:paraId="7C7BCFB6" w14:textId="77777777" w:rsidR="00DC5AB4" w:rsidRPr="00D03374" w:rsidRDefault="00DC5AB4"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3</w:t>
            </w:r>
            <w:r>
              <w:rPr>
                <w:rFonts w:ascii="Calibri" w:hAnsi="Calibri" w:cs="Calibri"/>
                <w:noProof/>
                <w:sz w:val="18"/>
                <w:szCs w:val="18"/>
              </w:rPr>
              <w:t>0</w:t>
            </w:r>
          </w:p>
        </w:tc>
        <w:tc>
          <w:tcPr>
            <w:tcW w:w="3311" w:type="dxa"/>
            <w:vMerge w:val="restart"/>
          </w:tcPr>
          <w:p w14:paraId="34DC8516"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A mathematical approach to Prion misfolding</w:t>
            </w:r>
          </w:p>
        </w:tc>
        <w:tc>
          <w:tcPr>
            <w:tcW w:w="1456" w:type="dxa"/>
            <w:vMerge w:val="restart"/>
          </w:tcPr>
          <w:p w14:paraId="0AEA5C29"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Cassell, Morgan*, Ashley L. Bennett</w:t>
            </w:r>
          </w:p>
        </w:tc>
        <w:tc>
          <w:tcPr>
            <w:tcW w:w="1809" w:type="dxa"/>
            <w:vMerge w:val="restart"/>
          </w:tcPr>
          <w:p w14:paraId="5BDE4917"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Barton College</w:t>
            </w:r>
          </w:p>
        </w:tc>
        <w:tc>
          <w:tcPr>
            <w:tcW w:w="1795" w:type="dxa"/>
          </w:tcPr>
          <w:p w14:paraId="79A6DA08"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10:30-10:45 AM</w:t>
            </w:r>
          </w:p>
        </w:tc>
      </w:tr>
      <w:tr w:rsidR="00DC5AB4" w:rsidRPr="00D03374" w14:paraId="03677970" w14:textId="77777777" w:rsidTr="007A13D5">
        <w:trPr>
          <w:trHeight w:val="424"/>
        </w:trPr>
        <w:tc>
          <w:tcPr>
            <w:tcW w:w="979" w:type="dxa"/>
            <w:vMerge/>
          </w:tcPr>
          <w:p w14:paraId="6503863A" w14:textId="77777777" w:rsidR="00DC5AB4" w:rsidRPr="00D03374" w:rsidRDefault="00DC5AB4" w:rsidP="007A13D5">
            <w:pPr>
              <w:rPr>
                <w:rFonts w:ascii="Calibri" w:hAnsi="Calibri" w:cs="Calibri"/>
                <w:sz w:val="18"/>
                <w:szCs w:val="18"/>
              </w:rPr>
            </w:pPr>
          </w:p>
        </w:tc>
        <w:tc>
          <w:tcPr>
            <w:tcW w:w="3311" w:type="dxa"/>
            <w:vMerge/>
          </w:tcPr>
          <w:p w14:paraId="53415981" w14:textId="77777777" w:rsidR="00DC5AB4" w:rsidRPr="00D03374" w:rsidRDefault="00DC5AB4" w:rsidP="007A13D5">
            <w:pPr>
              <w:rPr>
                <w:rFonts w:ascii="Calibri" w:hAnsi="Calibri" w:cs="Calibri"/>
                <w:sz w:val="18"/>
                <w:szCs w:val="18"/>
              </w:rPr>
            </w:pPr>
          </w:p>
        </w:tc>
        <w:tc>
          <w:tcPr>
            <w:tcW w:w="1456" w:type="dxa"/>
            <w:vMerge/>
          </w:tcPr>
          <w:p w14:paraId="0D137C10" w14:textId="77777777" w:rsidR="00DC5AB4" w:rsidRPr="00D03374" w:rsidRDefault="00DC5AB4" w:rsidP="007A13D5">
            <w:pPr>
              <w:rPr>
                <w:rFonts w:ascii="Calibri" w:hAnsi="Calibri" w:cs="Calibri"/>
                <w:sz w:val="18"/>
                <w:szCs w:val="18"/>
              </w:rPr>
            </w:pPr>
          </w:p>
        </w:tc>
        <w:tc>
          <w:tcPr>
            <w:tcW w:w="1809" w:type="dxa"/>
            <w:vMerge/>
          </w:tcPr>
          <w:p w14:paraId="3F8B2F41" w14:textId="77777777" w:rsidR="00DC5AB4" w:rsidRPr="00D03374" w:rsidRDefault="00DC5AB4" w:rsidP="007A13D5">
            <w:pPr>
              <w:rPr>
                <w:rFonts w:ascii="Calibri" w:hAnsi="Calibri" w:cs="Calibri"/>
                <w:sz w:val="18"/>
                <w:szCs w:val="18"/>
              </w:rPr>
            </w:pPr>
          </w:p>
        </w:tc>
        <w:tc>
          <w:tcPr>
            <w:tcW w:w="1795" w:type="dxa"/>
          </w:tcPr>
          <w:p w14:paraId="59A0A85A"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KOBC 211</w:t>
            </w:r>
          </w:p>
        </w:tc>
      </w:tr>
      <w:tr w:rsidR="00DC5AB4" w:rsidRPr="00D03374" w14:paraId="61010B13" w14:textId="77777777" w:rsidTr="007A13D5">
        <w:trPr>
          <w:trHeight w:val="424"/>
        </w:trPr>
        <w:tc>
          <w:tcPr>
            <w:tcW w:w="979" w:type="dxa"/>
            <w:vMerge/>
          </w:tcPr>
          <w:p w14:paraId="33AA7104" w14:textId="77777777" w:rsidR="00DC5AB4" w:rsidRPr="00D03374" w:rsidRDefault="00DC5AB4" w:rsidP="007A13D5">
            <w:pPr>
              <w:rPr>
                <w:rFonts w:ascii="Calibri" w:hAnsi="Calibri" w:cs="Calibri"/>
                <w:sz w:val="18"/>
                <w:szCs w:val="18"/>
              </w:rPr>
            </w:pPr>
          </w:p>
        </w:tc>
        <w:tc>
          <w:tcPr>
            <w:tcW w:w="3311" w:type="dxa"/>
            <w:vMerge/>
          </w:tcPr>
          <w:p w14:paraId="2CBE6A31" w14:textId="77777777" w:rsidR="00DC5AB4" w:rsidRPr="00D03374" w:rsidRDefault="00DC5AB4" w:rsidP="007A13D5">
            <w:pPr>
              <w:rPr>
                <w:rFonts w:ascii="Calibri" w:hAnsi="Calibri" w:cs="Calibri"/>
                <w:sz w:val="18"/>
                <w:szCs w:val="18"/>
              </w:rPr>
            </w:pPr>
          </w:p>
        </w:tc>
        <w:tc>
          <w:tcPr>
            <w:tcW w:w="1456" w:type="dxa"/>
            <w:vMerge/>
          </w:tcPr>
          <w:p w14:paraId="1FFC9512" w14:textId="77777777" w:rsidR="00DC5AB4" w:rsidRPr="00D03374" w:rsidRDefault="00DC5AB4" w:rsidP="007A13D5">
            <w:pPr>
              <w:rPr>
                <w:rFonts w:ascii="Calibri" w:hAnsi="Calibri" w:cs="Calibri"/>
                <w:sz w:val="18"/>
                <w:szCs w:val="18"/>
              </w:rPr>
            </w:pPr>
          </w:p>
        </w:tc>
        <w:tc>
          <w:tcPr>
            <w:tcW w:w="1809" w:type="dxa"/>
            <w:vMerge/>
          </w:tcPr>
          <w:p w14:paraId="37EFA104" w14:textId="77777777" w:rsidR="00DC5AB4" w:rsidRPr="00D03374" w:rsidRDefault="00DC5AB4" w:rsidP="007A13D5">
            <w:pPr>
              <w:rPr>
                <w:rFonts w:ascii="Calibri" w:hAnsi="Calibri" w:cs="Calibri"/>
                <w:sz w:val="18"/>
                <w:szCs w:val="18"/>
              </w:rPr>
            </w:pPr>
          </w:p>
        </w:tc>
        <w:tc>
          <w:tcPr>
            <w:tcW w:w="1795" w:type="dxa"/>
          </w:tcPr>
          <w:p w14:paraId="7F00E93F"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Yes</w:t>
            </w:r>
          </w:p>
        </w:tc>
      </w:tr>
      <w:tr w:rsidR="00DC5AB4" w:rsidRPr="00D03374" w14:paraId="0DFE91A2" w14:textId="77777777" w:rsidTr="007A13D5">
        <w:trPr>
          <w:trHeight w:val="425"/>
        </w:trPr>
        <w:tc>
          <w:tcPr>
            <w:tcW w:w="979" w:type="dxa"/>
            <w:vMerge w:val="restart"/>
          </w:tcPr>
          <w:p w14:paraId="0012B50B" w14:textId="77777777" w:rsidR="00DC5AB4" w:rsidRPr="00D03374" w:rsidRDefault="00DC5AB4" w:rsidP="007A13D5">
            <w:pPr>
              <w:rPr>
                <w:rFonts w:ascii="Calibri" w:hAnsi="Calibri" w:cs="Calibri"/>
                <w:noProof/>
                <w:sz w:val="18"/>
                <w:szCs w:val="18"/>
              </w:rPr>
            </w:pPr>
            <w:r>
              <w:rPr>
                <w:rFonts w:ascii="Calibri" w:hAnsi="Calibri" w:cs="Calibri"/>
                <w:noProof/>
                <w:sz w:val="18"/>
                <w:szCs w:val="18"/>
              </w:rPr>
              <w:t>Oral-</w:t>
            </w:r>
            <w:r w:rsidRPr="001362AE">
              <w:rPr>
                <w:rFonts w:ascii="Calibri" w:hAnsi="Calibri" w:cs="Calibri"/>
                <w:noProof/>
                <w:sz w:val="18"/>
                <w:szCs w:val="18"/>
              </w:rPr>
              <w:t>3</w:t>
            </w:r>
            <w:r>
              <w:rPr>
                <w:rFonts w:ascii="Calibri" w:hAnsi="Calibri" w:cs="Calibri"/>
                <w:noProof/>
                <w:sz w:val="18"/>
                <w:szCs w:val="18"/>
              </w:rPr>
              <w:t>1</w:t>
            </w:r>
          </w:p>
        </w:tc>
        <w:tc>
          <w:tcPr>
            <w:tcW w:w="3311" w:type="dxa"/>
            <w:vMerge w:val="restart"/>
          </w:tcPr>
          <w:p w14:paraId="68B81201"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Bayesian integrative approach identifies hidden intermediates in DH270-induced structural transitions of HIV-1 Envelope</w:t>
            </w:r>
          </w:p>
        </w:tc>
        <w:tc>
          <w:tcPr>
            <w:tcW w:w="1456" w:type="dxa"/>
            <w:vMerge w:val="restart"/>
          </w:tcPr>
          <w:p w14:paraId="7897943E"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Vrable, Alaina*, Ashley L. Bennett</w:t>
            </w:r>
          </w:p>
        </w:tc>
        <w:tc>
          <w:tcPr>
            <w:tcW w:w="1809" w:type="dxa"/>
            <w:vMerge w:val="restart"/>
          </w:tcPr>
          <w:p w14:paraId="6A1EFADE"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*Barton College, Department of Pharmaceutical Chemistry; Barton College, Department of Biology</w:t>
            </w:r>
          </w:p>
        </w:tc>
        <w:tc>
          <w:tcPr>
            <w:tcW w:w="1795" w:type="dxa"/>
          </w:tcPr>
          <w:p w14:paraId="418B09AA"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10:45-11:00 AM</w:t>
            </w:r>
          </w:p>
        </w:tc>
      </w:tr>
      <w:tr w:rsidR="00DC5AB4" w:rsidRPr="00D03374" w14:paraId="629F70D2" w14:textId="77777777" w:rsidTr="007A13D5">
        <w:trPr>
          <w:trHeight w:val="424"/>
        </w:trPr>
        <w:tc>
          <w:tcPr>
            <w:tcW w:w="979" w:type="dxa"/>
            <w:vMerge/>
          </w:tcPr>
          <w:p w14:paraId="7A25A347" w14:textId="77777777" w:rsidR="00DC5AB4" w:rsidRPr="00D03374" w:rsidRDefault="00DC5AB4" w:rsidP="007A13D5">
            <w:pPr>
              <w:rPr>
                <w:rFonts w:ascii="Calibri" w:hAnsi="Calibri" w:cs="Calibri"/>
                <w:sz w:val="18"/>
                <w:szCs w:val="18"/>
              </w:rPr>
            </w:pPr>
          </w:p>
        </w:tc>
        <w:tc>
          <w:tcPr>
            <w:tcW w:w="3311" w:type="dxa"/>
            <w:vMerge/>
          </w:tcPr>
          <w:p w14:paraId="10F5DA2D" w14:textId="77777777" w:rsidR="00DC5AB4" w:rsidRPr="00D03374" w:rsidRDefault="00DC5AB4" w:rsidP="007A13D5">
            <w:pPr>
              <w:rPr>
                <w:rFonts w:ascii="Calibri" w:hAnsi="Calibri" w:cs="Calibri"/>
                <w:sz w:val="18"/>
                <w:szCs w:val="18"/>
              </w:rPr>
            </w:pPr>
          </w:p>
        </w:tc>
        <w:tc>
          <w:tcPr>
            <w:tcW w:w="1456" w:type="dxa"/>
            <w:vMerge/>
          </w:tcPr>
          <w:p w14:paraId="42BF9BBB" w14:textId="77777777" w:rsidR="00DC5AB4" w:rsidRPr="00D03374" w:rsidRDefault="00DC5AB4" w:rsidP="007A13D5">
            <w:pPr>
              <w:rPr>
                <w:rFonts w:ascii="Calibri" w:hAnsi="Calibri" w:cs="Calibri"/>
                <w:sz w:val="18"/>
                <w:szCs w:val="18"/>
              </w:rPr>
            </w:pPr>
          </w:p>
        </w:tc>
        <w:tc>
          <w:tcPr>
            <w:tcW w:w="1809" w:type="dxa"/>
            <w:vMerge/>
          </w:tcPr>
          <w:p w14:paraId="4BC6354A" w14:textId="77777777" w:rsidR="00DC5AB4" w:rsidRPr="00D03374" w:rsidRDefault="00DC5AB4" w:rsidP="007A13D5">
            <w:pPr>
              <w:rPr>
                <w:rFonts w:ascii="Calibri" w:hAnsi="Calibri" w:cs="Calibri"/>
                <w:sz w:val="18"/>
                <w:szCs w:val="18"/>
              </w:rPr>
            </w:pPr>
          </w:p>
        </w:tc>
        <w:tc>
          <w:tcPr>
            <w:tcW w:w="1795" w:type="dxa"/>
          </w:tcPr>
          <w:p w14:paraId="0DF7485B"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KOBC 211</w:t>
            </w:r>
          </w:p>
        </w:tc>
      </w:tr>
      <w:tr w:rsidR="00DC5AB4" w:rsidRPr="00D03374" w14:paraId="518D575C" w14:textId="77777777" w:rsidTr="007A13D5">
        <w:trPr>
          <w:trHeight w:val="424"/>
        </w:trPr>
        <w:tc>
          <w:tcPr>
            <w:tcW w:w="979" w:type="dxa"/>
            <w:vMerge/>
          </w:tcPr>
          <w:p w14:paraId="19B8171C" w14:textId="77777777" w:rsidR="00DC5AB4" w:rsidRPr="00D03374" w:rsidRDefault="00DC5AB4" w:rsidP="007A13D5">
            <w:pPr>
              <w:rPr>
                <w:rFonts w:ascii="Calibri" w:hAnsi="Calibri" w:cs="Calibri"/>
                <w:sz w:val="18"/>
                <w:szCs w:val="18"/>
              </w:rPr>
            </w:pPr>
          </w:p>
        </w:tc>
        <w:tc>
          <w:tcPr>
            <w:tcW w:w="3311" w:type="dxa"/>
            <w:vMerge/>
          </w:tcPr>
          <w:p w14:paraId="465B5973" w14:textId="77777777" w:rsidR="00DC5AB4" w:rsidRPr="00D03374" w:rsidRDefault="00DC5AB4" w:rsidP="007A13D5">
            <w:pPr>
              <w:rPr>
                <w:rFonts w:ascii="Calibri" w:hAnsi="Calibri" w:cs="Calibri"/>
                <w:sz w:val="18"/>
                <w:szCs w:val="18"/>
              </w:rPr>
            </w:pPr>
          </w:p>
        </w:tc>
        <w:tc>
          <w:tcPr>
            <w:tcW w:w="1456" w:type="dxa"/>
            <w:vMerge/>
          </w:tcPr>
          <w:p w14:paraId="3983672C" w14:textId="77777777" w:rsidR="00DC5AB4" w:rsidRPr="00D03374" w:rsidRDefault="00DC5AB4" w:rsidP="007A13D5">
            <w:pPr>
              <w:rPr>
                <w:rFonts w:ascii="Calibri" w:hAnsi="Calibri" w:cs="Calibri"/>
                <w:sz w:val="18"/>
                <w:szCs w:val="18"/>
              </w:rPr>
            </w:pPr>
          </w:p>
        </w:tc>
        <w:tc>
          <w:tcPr>
            <w:tcW w:w="1809" w:type="dxa"/>
            <w:vMerge/>
          </w:tcPr>
          <w:p w14:paraId="0119C706" w14:textId="77777777" w:rsidR="00DC5AB4" w:rsidRPr="00D03374" w:rsidRDefault="00DC5AB4" w:rsidP="007A13D5">
            <w:pPr>
              <w:rPr>
                <w:rFonts w:ascii="Calibri" w:hAnsi="Calibri" w:cs="Calibri"/>
                <w:sz w:val="18"/>
                <w:szCs w:val="18"/>
              </w:rPr>
            </w:pPr>
          </w:p>
        </w:tc>
        <w:tc>
          <w:tcPr>
            <w:tcW w:w="1795" w:type="dxa"/>
          </w:tcPr>
          <w:p w14:paraId="54F4E1F5" w14:textId="77777777" w:rsidR="00DC5AB4" w:rsidRPr="00D03374" w:rsidRDefault="00DC5AB4" w:rsidP="007A13D5">
            <w:pPr>
              <w:rPr>
                <w:rFonts w:ascii="Calibri" w:hAnsi="Calibri" w:cs="Calibri"/>
                <w:sz w:val="18"/>
                <w:szCs w:val="18"/>
              </w:rPr>
            </w:pPr>
            <w:r w:rsidRPr="001362AE">
              <w:rPr>
                <w:rFonts w:ascii="Calibri" w:hAnsi="Calibri" w:cs="Calibri"/>
                <w:noProof/>
                <w:sz w:val="18"/>
                <w:szCs w:val="18"/>
              </w:rPr>
              <w:t>No</w:t>
            </w:r>
          </w:p>
        </w:tc>
      </w:tr>
    </w:tbl>
    <w:p w14:paraId="5E980DAA" w14:textId="77777777" w:rsidR="002114D5" w:rsidRPr="00B051AC" w:rsidRDefault="002114D5" w:rsidP="002114D5">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0BF6E44E" w14:textId="77777777" w:rsidR="002114D5" w:rsidRDefault="002114D5" w:rsidP="008E3FF1">
      <w:pPr>
        <w:spacing w:after="0" w:line="240" w:lineRule="auto"/>
        <w:contextualSpacing/>
        <w:jc w:val="center"/>
        <w:rPr>
          <w:rFonts w:ascii="Calibri" w:hAnsi="Calibri" w:cs="Calibri"/>
          <w:b/>
          <w:bCs/>
          <w:sz w:val="32"/>
          <w:szCs w:val="32"/>
        </w:rPr>
      </w:pPr>
      <w:bookmarkStart w:id="22" w:name="KOBCFloorPlan"/>
    </w:p>
    <w:p w14:paraId="5806C252" w14:textId="77777777" w:rsidR="002114D5" w:rsidRDefault="002114D5" w:rsidP="008E3FF1">
      <w:pPr>
        <w:spacing w:after="0" w:line="240" w:lineRule="auto"/>
        <w:contextualSpacing/>
        <w:jc w:val="center"/>
        <w:rPr>
          <w:rFonts w:ascii="Calibri" w:hAnsi="Calibri" w:cs="Calibri"/>
          <w:b/>
          <w:bCs/>
          <w:sz w:val="32"/>
          <w:szCs w:val="32"/>
        </w:rPr>
      </w:pPr>
    </w:p>
    <w:p w14:paraId="091D62DA" w14:textId="77777777" w:rsidR="002114D5" w:rsidRDefault="002114D5" w:rsidP="008E3FF1">
      <w:pPr>
        <w:spacing w:after="0" w:line="240" w:lineRule="auto"/>
        <w:contextualSpacing/>
        <w:jc w:val="center"/>
        <w:rPr>
          <w:rFonts w:ascii="Calibri" w:hAnsi="Calibri" w:cs="Calibri"/>
          <w:b/>
          <w:bCs/>
          <w:sz w:val="32"/>
          <w:szCs w:val="32"/>
        </w:rPr>
      </w:pPr>
    </w:p>
    <w:p w14:paraId="2CD0FDDE" w14:textId="77777777" w:rsidR="002114D5" w:rsidRDefault="002114D5" w:rsidP="008E3FF1">
      <w:pPr>
        <w:spacing w:after="0" w:line="240" w:lineRule="auto"/>
        <w:contextualSpacing/>
        <w:jc w:val="center"/>
        <w:rPr>
          <w:rFonts w:ascii="Calibri" w:hAnsi="Calibri" w:cs="Calibri"/>
          <w:b/>
          <w:bCs/>
          <w:sz w:val="32"/>
          <w:szCs w:val="32"/>
        </w:rPr>
      </w:pPr>
    </w:p>
    <w:p w14:paraId="0D9C4178" w14:textId="77777777" w:rsidR="002114D5" w:rsidRDefault="002114D5" w:rsidP="008E3FF1">
      <w:pPr>
        <w:spacing w:after="0" w:line="240" w:lineRule="auto"/>
        <w:contextualSpacing/>
        <w:jc w:val="center"/>
        <w:rPr>
          <w:rFonts w:ascii="Calibri" w:hAnsi="Calibri" w:cs="Calibri"/>
          <w:b/>
          <w:bCs/>
          <w:sz w:val="32"/>
          <w:szCs w:val="32"/>
        </w:rPr>
      </w:pPr>
    </w:p>
    <w:p w14:paraId="0FF1C829" w14:textId="77777777" w:rsidR="002114D5" w:rsidRDefault="002114D5" w:rsidP="008E3FF1">
      <w:pPr>
        <w:spacing w:after="0" w:line="240" w:lineRule="auto"/>
        <w:contextualSpacing/>
        <w:jc w:val="center"/>
        <w:rPr>
          <w:rFonts w:ascii="Calibri" w:hAnsi="Calibri" w:cs="Calibri"/>
          <w:b/>
          <w:bCs/>
          <w:sz w:val="32"/>
          <w:szCs w:val="32"/>
        </w:rPr>
      </w:pPr>
    </w:p>
    <w:p w14:paraId="7A8D0DAA" w14:textId="77777777" w:rsidR="002114D5" w:rsidRDefault="002114D5" w:rsidP="008E3FF1">
      <w:pPr>
        <w:spacing w:after="0" w:line="240" w:lineRule="auto"/>
        <w:contextualSpacing/>
        <w:jc w:val="center"/>
        <w:rPr>
          <w:rFonts w:ascii="Calibri" w:hAnsi="Calibri" w:cs="Calibri"/>
          <w:b/>
          <w:bCs/>
          <w:sz w:val="32"/>
          <w:szCs w:val="32"/>
        </w:rPr>
      </w:pPr>
    </w:p>
    <w:p w14:paraId="39F03658" w14:textId="77777777" w:rsidR="002114D5" w:rsidRDefault="002114D5" w:rsidP="008E3FF1">
      <w:pPr>
        <w:spacing w:after="0" w:line="240" w:lineRule="auto"/>
        <w:contextualSpacing/>
        <w:jc w:val="center"/>
        <w:rPr>
          <w:rFonts w:ascii="Calibri" w:hAnsi="Calibri" w:cs="Calibri"/>
          <w:b/>
          <w:bCs/>
          <w:sz w:val="32"/>
          <w:szCs w:val="32"/>
        </w:rPr>
      </w:pPr>
    </w:p>
    <w:p w14:paraId="6D420678" w14:textId="77777777" w:rsidR="002114D5" w:rsidRDefault="002114D5" w:rsidP="008E3FF1">
      <w:pPr>
        <w:spacing w:after="0" w:line="240" w:lineRule="auto"/>
        <w:contextualSpacing/>
        <w:jc w:val="center"/>
        <w:rPr>
          <w:rFonts w:ascii="Calibri" w:hAnsi="Calibri" w:cs="Calibri"/>
          <w:b/>
          <w:bCs/>
          <w:sz w:val="32"/>
          <w:szCs w:val="32"/>
        </w:rPr>
      </w:pPr>
    </w:p>
    <w:p w14:paraId="0C6F916A" w14:textId="77777777" w:rsidR="002114D5" w:rsidRDefault="002114D5" w:rsidP="008E3FF1">
      <w:pPr>
        <w:spacing w:after="0" w:line="240" w:lineRule="auto"/>
        <w:contextualSpacing/>
        <w:jc w:val="center"/>
        <w:rPr>
          <w:rFonts w:ascii="Calibri" w:hAnsi="Calibri" w:cs="Calibri"/>
          <w:b/>
          <w:bCs/>
          <w:sz w:val="32"/>
          <w:szCs w:val="32"/>
        </w:rPr>
      </w:pPr>
    </w:p>
    <w:p w14:paraId="3818DA0C" w14:textId="77777777" w:rsidR="00F875E5" w:rsidRDefault="00F875E5" w:rsidP="008E3FF1">
      <w:pPr>
        <w:spacing w:after="0" w:line="240" w:lineRule="auto"/>
        <w:contextualSpacing/>
        <w:jc w:val="center"/>
        <w:rPr>
          <w:rFonts w:ascii="Calibri" w:hAnsi="Calibri" w:cs="Calibri"/>
          <w:b/>
          <w:bCs/>
          <w:sz w:val="32"/>
          <w:szCs w:val="32"/>
        </w:rPr>
      </w:pPr>
    </w:p>
    <w:p w14:paraId="239D2F70" w14:textId="77777777" w:rsidR="00F875E5" w:rsidRDefault="00F875E5" w:rsidP="008E3FF1">
      <w:pPr>
        <w:spacing w:after="0" w:line="240" w:lineRule="auto"/>
        <w:contextualSpacing/>
        <w:jc w:val="center"/>
        <w:rPr>
          <w:rFonts w:ascii="Calibri" w:hAnsi="Calibri" w:cs="Calibri"/>
          <w:b/>
          <w:bCs/>
          <w:sz w:val="32"/>
          <w:szCs w:val="32"/>
        </w:rPr>
      </w:pPr>
    </w:p>
    <w:p w14:paraId="6BBAC87C" w14:textId="77777777" w:rsidR="00F875E5" w:rsidRDefault="00F875E5" w:rsidP="008E3FF1">
      <w:pPr>
        <w:spacing w:after="0" w:line="240" w:lineRule="auto"/>
        <w:contextualSpacing/>
        <w:jc w:val="center"/>
        <w:rPr>
          <w:rFonts w:ascii="Calibri" w:hAnsi="Calibri" w:cs="Calibri"/>
          <w:b/>
          <w:bCs/>
          <w:sz w:val="32"/>
          <w:szCs w:val="32"/>
        </w:rPr>
      </w:pPr>
    </w:p>
    <w:p w14:paraId="033330E7" w14:textId="77777777" w:rsidR="002114D5" w:rsidRDefault="002114D5" w:rsidP="008E3FF1">
      <w:pPr>
        <w:spacing w:after="0" w:line="240" w:lineRule="auto"/>
        <w:contextualSpacing/>
        <w:jc w:val="center"/>
        <w:rPr>
          <w:rFonts w:ascii="Calibri" w:hAnsi="Calibri" w:cs="Calibri"/>
          <w:b/>
          <w:bCs/>
          <w:sz w:val="32"/>
          <w:szCs w:val="32"/>
        </w:rPr>
      </w:pPr>
    </w:p>
    <w:p w14:paraId="212957E4" w14:textId="77777777" w:rsidR="002114D5" w:rsidRDefault="002114D5" w:rsidP="008E3FF1">
      <w:pPr>
        <w:spacing w:after="0" w:line="240" w:lineRule="auto"/>
        <w:contextualSpacing/>
        <w:jc w:val="center"/>
        <w:rPr>
          <w:rFonts w:ascii="Calibri" w:hAnsi="Calibri" w:cs="Calibri"/>
          <w:b/>
          <w:bCs/>
          <w:sz w:val="32"/>
          <w:szCs w:val="32"/>
        </w:rPr>
      </w:pPr>
    </w:p>
    <w:p w14:paraId="3D58EC08" w14:textId="601CF7AC" w:rsidR="002139C0" w:rsidRDefault="0031323C" w:rsidP="008E3FF1">
      <w:pPr>
        <w:spacing w:after="0" w:line="240" w:lineRule="auto"/>
        <w:contextualSpacing/>
        <w:jc w:val="center"/>
        <w:rPr>
          <w:rFonts w:ascii="Calibri" w:hAnsi="Calibri" w:cs="Calibri"/>
          <w:b/>
          <w:bCs/>
          <w:sz w:val="32"/>
          <w:szCs w:val="32"/>
        </w:rPr>
      </w:pPr>
      <w:r>
        <w:rPr>
          <w:rFonts w:ascii="Calibri" w:hAnsi="Calibri" w:cs="Calibri"/>
          <w:b/>
          <w:bCs/>
          <w:sz w:val="32"/>
          <w:szCs w:val="32"/>
        </w:rPr>
        <w:lastRenderedPageBreak/>
        <w:t>Koury Business Center (K</w:t>
      </w:r>
      <w:r w:rsidR="000D23B9">
        <w:rPr>
          <w:rFonts w:ascii="Calibri" w:hAnsi="Calibri" w:cs="Calibri"/>
          <w:b/>
          <w:bCs/>
          <w:sz w:val="32"/>
          <w:szCs w:val="32"/>
        </w:rPr>
        <w:t>OBC</w:t>
      </w:r>
      <w:r>
        <w:rPr>
          <w:rFonts w:ascii="Calibri" w:hAnsi="Calibri" w:cs="Calibri"/>
          <w:b/>
          <w:bCs/>
          <w:sz w:val="32"/>
          <w:szCs w:val="32"/>
        </w:rPr>
        <w:t>)</w:t>
      </w:r>
      <w:r w:rsidR="000D23B9">
        <w:rPr>
          <w:rFonts w:ascii="Calibri" w:hAnsi="Calibri" w:cs="Calibri"/>
          <w:b/>
          <w:bCs/>
          <w:sz w:val="32"/>
          <w:szCs w:val="32"/>
        </w:rPr>
        <w:t xml:space="preserve"> Floor Pla</w:t>
      </w:r>
      <w:r w:rsidR="00BC2BB8">
        <w:rPr>
          <w:rFonts w:ascii="Calibri" w:hAnsi="Calibri" w:cs="Calibri"/>
          <w:b/>
          <w:bCs/>
          <w:sz w:val="32"/>
          <w:szCs w:val="32"/>
        </w:rPr>
        <w:t>ns</w:t>
      </w:r>
    </w:p>
    <w:bookmarkEnd w:id="22"/>
    <w:p w14:paraId="61C264C4" w14:textId="77777777" w:rsidR="000D23B9" w:rsidRDefault="000D23B9" w:rsidP="008E3FF1">
      <w:pPr>
        <w:spacing w:after="0" w:line="240" w:lineRule="auto"/>
        <w:contextualSpacing/>
        <w:jc w:val="center"/>
        <w:rPr>
          <w:rFonts w:ascii="Calibri" w:hAnsi="Calibri" w:cs="Calibri"/>
          <w:b/>
          <w:bCs/>
          <w:sz w:val="32"/>
          <w:szCs w:val="32"/>
        </w:rPr>
      </w:pPr>
    </w:p>
    <w:p w14:paraId="23F2DB42" w14:textId="2DB64BEE" w:rsidR="000D23B9" w:rsidRDefault="00646BEA" w:rsidP="008E3FF1">
      <w:pPr>
        <w:spacing w:after="0" w:line="240" w:lineRule="auto"/>
        <w:contextualSpacing/>
        <w:jc w:val="center"/>
        <w:rPr>
          <w:rFonts w:ascii="Calibri" w:hAnsi="Calibri" w:cs="Calibri"/>
          <w:b/>
          <w:bCs/>
          <w:sz w:val="32"/>
          <w:szCs w:val="32"/>
        </w:rPr>
      </w:pPr>
      <w:r>
        <w:rPr>
          <w:noProof/>
        </w:rPr>
        <w:drawing>
          <wp:inline distT="0" distB="0" distL="0" distR="0" wp14:anchorId="458BB6A3" wp14:editId="6497EF0B">
            <wp:extent cx="6198012" cy="6719147"/>
            <wp:effectExtent l="0" t="0" r="0" b="5715"/>
            <wp:docPr id="1146693659" name="Picture 1" descr="Floor plan for the first floor of the Koury Business Center on the Elon University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93659" name="Picture 1" descr="Floor plan for the first floor of the Koury Business Center on the Elon University campus"/>
                    <pic:cNvPicPr/>
                  </pic:nvPicPr>
                  <pic:blipFill>
                    <a:blip r:embed="rId24"/>
                    <a:stretch>
                      <a:fillRect/>
                    </a:stretch>
                  </pic:blipFill>
                  <pic:spPr>
                    <a:xfrm>
                      <a:off x="0" y="0"/>
                      <a:ext cx="6226269" cy="6749780"/>
                    </a:xfrm>
                    <a:prstGeom prst="rect">
                      <a:avLst/>
                    </a:prstGeom>
                  </pic:spPr>
                </pic:pic>
              </a:graphicData>
            </a:graphic>
          </wp:inline>
        </w:drawing>
      </w:r>
    </w:p>
    <w:p w14:paraId="67FB0832" w14:textId="77777777" w:rsidR="00FA076C" w:rsidRPr="00B051AC" w:rsidRDefault="00FA076C" w:rsidP="00FA076C">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76476CED" w14:textId="77777777" w:rsidR="00646BEA" w:rsidRDefault="00646BEA" w:rsidP="008E3FF1">
      <w:pPr>
        <w:spacing w:after="0" w:line="240" w:lineRule="auto"/>
        <w:contextualSpacing/>
        <w:jc w:val="center"/>
        <w:rPr>
          <w:rFonts w:ascii="Calibri" w:hAnsi="Calibri" w:cs="Calibri"/>
          <w:b/>
          <w:bCs/>
          <w:sz w:val="32"/>
          <w:szCs w:val="32"/>
        </w:rPr>
      </w:pPr>
    </w:p>
    <w:p w14:paraId="142D7CB3" w14:textId="77777777" w:rsidR="0051491B" w:rsidRDefault="0051491B" w:rsidP="008E3FF1">
      <w:pPr>
        <w:spacing w:after="0" w:line="240" w:lineRule="auto"/>
        <w:contextualSpacing/>
        <w:jc w:val="center"/>
        <w:rPr>
          <w:rFonts w:ascii="Calibri" w:hAnsi="Calibri" w:cs="Calibri"/>
          <w:b/>
          <w:bCs/>
          <w:sz w:val="32"/>
          <w:szCs w:val="32"/>
        </w:rPr>
      </w:pPr>
    </w:p>
    <w:p w14:paraId="4A486681" w14:textId="49020D08" w:rsidR="0051491B" w:rsidRDefault="0051491B" w:rsidP="008E3FF1">
      <w:pPr>
        <w:spacing w:after="0" w:line="240" w:lineRule="auto"/>
        <w:contextualSpacing/>
        <w:jc w:val="center"/>
        <w:rPr>
          <w:rFonts w:ascii="Calibri" w:hAnsi="Calibri" w:cs="Calibri"/>
          <w:b/>
          <w:bCs/>
          <w:sz w:val="32"/>
          <w:szCs w:val="32"/>
        </w:rPr>
      </w:pPr>
      <w:r>
        <w:rPr>
          <w:noProof/>
        </w:rPr>
        <w:lastRenderedPageBreak/>
        <w:drawing>
          <wp:inline distT="0" distB="0" distL="0" distR="0" wp14:anchorId="6EBAC66B" wp14:editId="62666E15">
            <wp:extent cx="5943600" cy="7173595"/>
            <wp:effectExtent l="0" t="0" r="0" b="8255"/>
            <wp:docPr id="96799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98744" name=""/>
                    <pic:cNvPicPr/>
                  </pic:nvPicPr>
                  <pic:blipFill>
                    <a:blip r:embed="rId25"/>
                    <a:stretch>
                      <a:fillRect/>
                    </a:stretch>
                  </pic:blipFill>
                  <pic:spPr>
                    <a:xfrm>
                      <a:off x="0" y="0"/>
                      <a:ext cx="5943600" cy="7173595"/>
                    </a:xfrm>
                    <a:prstGeom prst="rect">
                      <a:avLst/>
                    </a:prstGeom>
                  </pic:spPr>
                </pic:pic>
              </a:graphicData>
            </a:graphic>
          </wp:inline>
        </w:drawing>
      </w:r>
    </w:p>
    <w:p w14:paraId="307F4561" w14:textId="77777777" w:rsidR="00FA076C" w:rsidRDefault="00FA076C" w:rsidP="00FA076C">
      <w:pPr>
        <w:jc w:val="center"/>
      </w:pPr>
      <w:hyperlink w:anchor="TableofContents" w:history="1">
        <w:r w:rsidRPr="45BF4E85">
          <w:rPr>
            <w:rStyle w:val="Hyperlink"/>
            <w:rFonts w:ascii="Calibri" w:hAnsi="Calibri" w:cs="Calibri"/>
            <w:b/>
            <w:bCs/>
            <w:kern w:val="0"/>
            <w:sz w:val="22"/>
            <w:szCs w:val="22"/>
          </w:rPr>
          <w:t>Return to Table of Contents</w:t>
        </w:r>
      </w:hyperlink>
    </w:p>
    <w:p w14:paraId="00612F93" w14:textId="77777777" w:rsidR="008C72CD" w:rsidRDefault="008C72CD" w:rsidP="00FA076C">
      <w:pPr>
        <w:jc w:val="center"/>
      </w:pPr>
    </w:p>
    <w:p w14:paraId="722077F5" w14:textId="3FA0984E" w:rsidR="00B40F99" w:rsidRDefault="00902EAD" w:rsidP="008E3FF1">
      <w:pPr>
        <w:spacing w:after="0" w:line="240" w:lineRule="auto"/>
        <w:contextualSpacing/>
        <w:jc w:val="center"/>
        <w:rPr>
          <w:rFonts w:ascii="Calibri" w:hAnsi="Calibri" w:cs="Calibri"/>
          <w:b/>
          <w:bCs/>
          <w:sz w:val="56"/>
          <w:szCs w:val="56"/>
        </w:rPr>
      </w:pPr>
      <w:bookmarkStart w:id="23" w:name="Campusmapparking"/>
      <w:r w:rsidRPr="00273964">
        <w:rPr>
          <w:rFonts w:ascii="Calibri" w:hAnsi="Calibri" w:cs="Calibri"/>
          <w:b/>
          <w:bCs/>
          <w:sz w:val="56"/>
          <w:szCs w:val="56"/>
        </w:rPr>
        <w:lastRenderedPageBreak/>
        <w:t>C</w:t>
      </w:r>
      <w:r w:rsidR="008E3FF1" w:rsidRPr="00273964">
        <w:rPr>
          <w:rFonts w:ascii="Calibri" w:hAnsi="Calibri" w:cs="Calibri"/>
          <w:b/>
          <w:bCs/>
          <w:sz w:val="56"/>
          <w:szCs w:val="56"/>
        </w:rPr>
        <w:t>ampus Map</w:t>
      </w:r>
      <w:r w:rsidR="00FB338E">
        <w:rPr>
          <w:rFonts w:ascii="Calibri" w:hAnsi="Calibri" w:cs="Calibri"/>
          <w:b/>
          <w:bCs/>
          <w:sz w:val="56"/>
          <w:szCs w:val="56"/>
        </w:rPr>
        <w:t xml:space="preserve"> and Parking</w:t>
      </w:r>
    </w:p>
    <w:bookmarkEnd w:id="23"/>
    <w:p w14:paraId="6642A2A3" w14:textId="79AA2022" w:rsidR="00FB338E" w:rsidRPr="00273964" w:rsidRDefault="00FB338E" w:rsidP="008E3FF1">
      <w:pPr>
        <w:spacing w:after="0" w:line="240" w:lineRule="auto"/>
        <w:contextualSpacing/>
        <w:jc w:val="center"/>
        <w:rPr>
          <w:rFonts w:ascii="Calibri" w:hAnsi="Calibri" w:cs="Calibri"/>
          <w:b/>
          <w:bCs/>
          <w:sz w:val="56"/>
          <w:szCs w:val="56"/>
        </w:rPr>
      </w:pPr>
      <w:r w:rsidRPr="00FB338E">
        <w:rPr>
          <w:rFonts w:ascii="Calibri" w:hAnsi="Calibri" w:cs="Calibri"/>
          <w:b/>
          <w:bCs/>
          <w:noProof/>
          <w:sz w:val="56"/>
          <w:szCs w:val="56"/>
        </w:rPr>
        <w:drawing>
          <wp:inline distT="0" distB="0" distL="0" distR="0" wp14:anchorId="6825EA12" wp14:editId="640F36D8">
            <wp:extent cx="5968770" cy="4704735"/>
            <wp:effectExtent l="0" t="0" r="0" b="635"/>
            <wp:docPr id="1705964728" name="Picture 1" descr="Map indicating the buildings that will be visited during this two-day conference as well as the parking lots where visitors should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4728" name="Picture 1" descr="Map indicating the buildings that will be visited during this two-day conference as well as the parking lots where visitors should pa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3683" cy="4716490"/>
                    </a:xfrm>
                    <a:prstGeom prst="rect">
                      <a:avLst/>
                    </a:prstGeom>
                    <a:noFill/>
                    <a:ln>
                      <a:noFill/>
                    </a:ln>
                  </pic:spPr>
                </pic:pic>
              </a:graphicData>
            </a:graphic>
          </wp:inline>
        </w:drawing>
      </w:r>
    </w:p>
    <w:p w14:paraId="3A7E4360" w14:textId="4BA12F1E" w:rsidR="00B40F99" w:rsidRDefault="00B40F99" w:rsidP="00835B71">
      <w:pPr>
        <w:spacing w:after="0" w:line="240" w:lineRule="auto"/>
        <w:contextualSpacing/>
        <w:rPr>
          <w:rFonts w:ascii="Calibri" w:hAnsi="Calibri" w:cs="Calibri"/>
        </w:rPr>
      </w:pPr>
    </w:p>
    <w:p w14:paraId="69A0BCA1" w14:textId="59E37E36" w:rsidR="00902EAD" w:rsidRDefault="00902EAD" w:rsidP="00835B71">
      <w:pPr>
        <w:spacing w:after="0" w:line="240" w:lineRule="auto"/>
        <w:contextualSpacing/>
        <w:rPr>
          <w:rFonts w:ascii="Calibri" w:hAnsi="Calibri" w:cs="Calibri"/>
        </w:rPr>
      </w:pPr>
      <w:r>
        <w:rPr>
          <w:noProof/>
        </w:rPr>
        <w:drawing>
          <wp:inline distT="0" distB="0" distL="0" distR="0" wp14:anchorId="076DB690" wp14:editId="3C33904A">
            <wp:extent cx="6415646" cy="1526458"/>
            <wp:effectExtent l="0" t="0" r="4445" b="0"/>
            <wp:docPr id="317426644" name="Picture 1" descr="This is a descriptive key that identifies the buildings used on each day of the conference as well as recommended parking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26644" name="Picture 1" descr="This is a descriptive key that identifies the buildings used on each day of the conference as well as recommended parking locations."/>
                    <pic:cNvPicPr/>
                  </pic:nvPicPr>
                  <pic:blipFill>
                    <a:blip r:embed="rId27"/>
                    <a:stretch>
                      <a:fillRect/>
                    </a:stretch>
                  </pic:blipFill>
                  <pic:spPr>
                    <a:xfrm>
                      <a:off x="0" y="0"/>
                      <a:ext cx="6453343" cy="1535427"/>
                    </a:xfrm>
                    <a:prstGeom prst="rect">
                      <a:avLst/>
                    </a:prstGeom>
                  </pic:spPr>
                </pic:pic>
              </a:graphicData>
            </a:graphic>
          </wp:inline>
        </w:drawing>
      </w:r>
    </w:p>
    <w:p w14:paraId="2240B1A0" w14:textId="77777777" w:rsidR="00B40F99" w:rsidRPr="00835B71" w:rsidRDefault="00B40F99" w:rsidP="00835B71">
      <w:pPr>
        <w:spacing w:after="0" w:line="240" w:lineRule="auto"/>
        <w:contextualSpacing/>
        <w:rPr>
          <w:rFonts w:ascii="Calibri" w:hAnsi="Calibri" w:cs="Calibri"/>
        </w:rPr>
      </w:pPr>
    </w:p>
    <w:p w14:paraId="2E6BECBE" w14:textId="77777777" w:rsidR="00FA076C" w:rsidRPr="00B051AC" w:rsidRDefault="00FA076C" w:rsidP="00FA076C">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330A51E" w14:textId="77777777" w:rsidR="005601A6" w:rsidRDefault="005601A6" w:rsidP="00835B71">
      <w:pPr>
        <w:spacing w:after="0" w:line="240" w:lineRule="auto"/>
        <w:contextualSpacing/>
        <w:rPr>
          <w:rFonts w:ascii="Calibri" w:hAnsi="Calibri" w:cs="Calibri"/>
        </w:rPr>
      </w:pPr>
    </w:p>
    <w:p w14:paraId="58C43066" w14:textId="77777777" w:rsidR="000E48E7" w:rsidRDefault="000E48E7" w:rsidP="00835B71">
      <w:pPr>
        <w:spacing w:after="0" w:line="240" w:lineRule="auto"/>
        <w:contextualSpacing/>
        <w:rPr>
          <w:rFonts w:ascii="Calibri" w:hAnsi="Calibri" w:cs="Calibri"/>
        </w:rPr>
      </w:pPr>
    </w:p>
    <w:p w14:paraId="10D08054" w14:textId="77777777" w:rsidR="000E48E7" w:rsidRDefault="000E48E7" w:rsidP="00835B71">
      <w:pPr>
        <w:spacing w:after="0" w:line="240" w:lineRule="auto"/>
        <w:contextualSpacing/>
        <w:rPr>
          <w:rFonts w:ascii="Calibri" w:hAnsi="Calibri" w:cs="Calibri"/>
        </w:rPr>
      </w:pPr>
    </w:p>
    <w:p w14:paraId="470F8684" w14:textId="77777777" w:rsidR="00FE0672" w:rsidRDefault="00FE0672" w:rsidP="00835B71">
      <w:pPr>
        <w:spacing w:after="0" w:line="240" w:lineRule="auto"/>
        <w:contextualSpacing/>
        <w:rPr>
          <w:rFonts w:ascii="Calibri" w:hAnsi="Calibri" w:cs="Calibri"/>
        </w:rPr>
      </w:pPr>
    </w:p>
    <w:p w14:paraId="7528742C" w14:textId="77777777" w:rsidR="004A5083" w:rsidRPr="00971952" w:rsidRDefault="004A5083" w:rsidP="004A5083">
      <w:pPr>
        <w:spacing w:after="0"/>
        <w:jc w:val="center"/>
        <w:rPr>
          <w:b/>
          <w:bCs/>
          <w:sz w:val="26"/>
          <w:szCs w:val="26"/>
        </w:rPr>
      </w:pPr>
      <w:bookmarkStart w:id="24" w:name="OralAbstracts"/>
      <w:r w:rsidRPr="00971952">
        <w:rPr>
          <w:b/>
          <w:bCs/>
          <w:sz w:val="26"/>
          <w:szCs w:val="26"/>
        </w:rPr>
        <w:lastRenderedPageBreak/>
        <w:t xml:space="preserve">Oral Presentation Abstract </w:t>
      </w:r>
      <w:r w:rsidRPr="0092723F">
        <w:rPr>
          <w:b/>
          <w:bCs/>
          <w:noProof/>
          <w:sz w:val="26"/>
          <w:szCs w:val="26"/>
        </w:rPr>
        <w:t>1</w:t>
      </w:r>
    </w:p>
    <w:bookmarkEnd w:id="24"/>
    <w:p w14:paraId="2BFDB42C"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Comparative analysis of carvacrol content in oregano oils and efficacy against Pseudomonas aeruginosa</w:t>
      </w:r>
    </w:p>
    <w:p w14:paraId="3EF5BCF3" w14:textId="77777777" w:rsidR="004A5083" w:rsidRDefault="004A5083" w:rsidP="004A5083">
      <w:pPr>
        <w:spacing w:after="0" w:line="240" w:lineRule="auto"/>
        <w:jc w:val="center"/>
      </w:pPr>
      <w:r>
        <w:rPr>
          <w:noProof/>
        </w:rPr>
        <w:t>Manea, Naomi*</w:t>
      </w:r>
    </w:p>
    <w:p w14:paraId="745E7C42" w14:textId="77777777" w:rsidR="004A5083" w:rsidRDefault="004A5083" w:rsidP="004A5083">
      <w:pPr>
        <w:spacing w:after="0" w:line="240" w:lineRule="auto"/>
        <w:jc w:val="center"/>
      </w:pPr>
      <w:r>
        <w:rPr>
          <w:noProof/>
        </w:rPr>
        <w:t>Lenoir-Rhyne University</w:t>
      </w:r>
    </w:p>
    <w:p w14:paraId="67D1E2D7" w14:textId="77777777" w:rsidR="004A5083" w:rsidRDefault="004A5083" w:rsidP="004A5083">
      <w:pPr>
        <w:spacing w:after="0" w:line="240" w:lineRule="auto"/>
        <w:jc w:val="center"/>
      </w:pPr>
    </w:p>
    <w:p w14:paraId="79F83D79" w14:textId="77777777" w:rsidR="004A5083" w:rsidRDefault="004A5083" w:rsidP="004A5083">
      <w:pPr>
        <w:spacing w:after="0" w:line="240" w:lineRule="auto"/>
      </w:pPr>
      <w:r>
        <w:rPr>
          <w:noProof/>
        </w:rPr>
        <w:t>Carvacrol is a phenolic monoterpenoid commonly found in oregano (Origanum spp.) essential oil and has been widely studied for its biological activity. Previous research has demonstrated that carvacrol exhibits significant antifungal and antibacterial properties, as well as potential anticancer effects, making it a promising compound for future medical and pharmaceutical applications. In this study, two commercially obtained oregano essential oils (EOs) were analyzed and compared to evaluate differences in their inhibitory effects on selected microorganisms, and high-performance liquid chromatography (HPLC) was used to analyze each oregano EO to measure and compare carvacrol concentration across each brand of EO. Antimicrobial activity was assessed using minimum inhibitory concentration (MIC) assays to determine the growth inhibition levels of carvacrol. A carvacrol standard was evaluated against two microorganisms:</w:t>
      </w:r>
      <w:r>
        <w:rPr>
          <w:rFonts w:ascii="Arial" w:hAnsi="Arial" w:cs="Arial"/>
          <w:noProof/>
        </w:rPr>
        <w:t> </w:t>
      </w:r>
      <w:r>
        <w:rPr>
          <w:noProof/>
        </w:rPr>
        <w:t>Pseudomonas aeruginosa</w:t>
      </w:r>
      <w:r>
        <w:rPr>
          <w:rFonts w:ascii="Arial" w:hAnsi="Arial" w:cs="Arial"/>
          <w:noProof/>
        </w:rPr>
        <w:t> </w:t>
      </w:r>
      <w:r>
        <w:rPr>
          <w:noProof/>
        </w:rPr>
        <w:t>from a commercial source and a</w:t>
      </w:r>
      <w:r>
        <w:rPr>
          <w:rFonts w:ascii="Arial" w:hAnsi="Arial" w:cs="Arial"/>
          <w:noProof/>
        </w:rPr>
        <w:t> </w:t>
      </w:r>
      <w:r>
        <w:rPr>
          <w:noProof/>
        </w:rPr>
        <w:t>clinical</w:t>
      </w:r>
      <w:r>
        <w:rPr>
          <w:rFonts w:ascii="Arial" w:hAnsi="Arial" w:cs="Arial"/>
          <w:noProof/>
        </w:rPr>
        <w:t> </w:t>
      </w:r>
      <w:r>
        <w:rPr>
          <w:noProof/>
        </w:rPr>
        <w:t>strain of P. aeruginosa from a patient with cystic fibrosis. The MIC results demonstrated that carvacrol effectively inhibited</w:t>
      </w:r>
      <w:r>
        <w:rPr>
          <w:rFonts w:ascii="Arial" w:hAnsi="Arial" w:cs="Arial"/>
          <w:noProof/>
        </w:rPr>
        <w:t> </w:t>
      </w:r>
      <w:r>
        <w:rPr>
          <w:noProof/>
        </w:rPr>
        <w:t>both Pseudomonas aeruginosa</w:t>
      </w:r>
      <w:r>
        <w:rPr>
          <w:rFonts w:ascii="Arial" w:hAnsi="Arial" w:cs="Arial"/>
          <w:noProof/>
        </w:rPr>
        <w:t> </w:t>
      </w:r>
      <w:r>
        <w:rPr>
          <w:noProof/>
        </w:rPr>
        <w:t>strains tested. Variations in carvacrol concentration among the EOs were calculated and used to interpret the differences observed in antimicrobial activity. Essential oils with higher carvacrol concentrations were expected to exhibit stronger inhibitory effects against fungal and bacterial growth. Carvacrol inhibited the</w:t>
      </w:r>
      <w:r>
        <w:rPr>
          <w:rFonts w:ascii="Arial" w:hAnsi="Arial" w:cs="Arial"/>
          <w:noProof/>
        </w:rPr>
        <w:t> </w:t>
      </w:r>
      <w:r>
        <w:rPr>
          <w:noProof/>
        </w:rPr>
        <w:t>cystic fibrosis</w:t>
      </w:r>
      <w:r>
        <w:rPr>
          <w:rFonts w:ascii="Arial" w:hAnsi="Arial" w:cs="Arial"/>
          <w:noProof/>
        </w:rPr>
        <w:t> </w:t>
      </w:r>
      <w:r>
        <w:rPr>
          <w:noProof/>
        </w:rPr>
        <w:t>strain of P. aeruginosa at 0.625% (v/v), while the NOW™ oil inhibited this strain at 2.5% (v/v), and the OT™ oil inhibited the stock</w:t>
      </w:r>
      <w:r>
        <w:rPr>
          <w:rFonts w:ascii="Arial" w:hAnsi="Arial" w:cs="Arial"/>
          <w:noProof/>
        </w:rPr>
        <w:t> </w:t>
      </w:r>
      <w:r>
        <w:rPr>
          <w:noProof/>
        </w:rPr>
        <w:t>P. aeruginosa</w:t>
      </w:r>
      <w:r>
        <w:rPr>
          <w:rFonts w:ascii="Arial" w:hAnsi="Arial" w:cs="Arial"/>
          <w:noProof/>
        </w:rPr>
        <w:t> </w:t>
      </w:r>
      <w:r>
        <w:rPr>
          <w:noProof/>
        </w:rPr>
        <w:t>at 1.25% (v/v). Overall, this study highlighted the relationship between essential oil composition and biological activity in oregano oil and supports the role of carvacrol as a key antimicrobial compound.</w:t>
      </w:r>
    </w:p>
    <w:p w14:paraId="4BD561EC" w14:textId="77777777" w:rsidR="000E48E7" w:rsidRPr="00B051AC" w:rsidRDefault="000E48E7" w:rsidP="000E48E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541A87C1" w14:textId="77777777" w:rsidR="000E48E7" w:rsidRDefault="000E48E7" w:rsidP="000E48E7">
      <w:pPr>
        <w:spacing w:after="0" w:line="240" w:lineRule="auto"/>
        <w:contextualSpacing/>
        <w:rPr>
          <w:rFonts w:ascii="Calibri" w:hAnsi="Calibri" w:cs="Calibri"/>
        </w:rPr>
      </w:pPr>
    </w:p>
    <w:p w14:paraId="220B824D"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w:t>
      </w:r>
    </w:p>
    <w:p w14:paraId="2E9276C7"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Bacteriophage and surfactant mediation of Pseudomonas aeruginosa biofilms in vitro: A potential therapeutic strategy for cystic fibrosis</w:t>
      </w:r>
    </w:p>
    <w:p w14:paraId="43E3699D" w14:textId="77777777" w:rsidR="004A5083" w:rsidRDefault="004A5083" w:rsidP="004A5083">
      <w:pPr>
        <w:spacing w:after="0" w:line="240" w:lineRule="auto"/>
        <w:jc w:val="center"/>
      </w:pPr>
      <w:r>
        <w:rPr>
          <w:noProof/>
        </w:rPr>
        <w:t>Alexander, Anna*</w:t>
      </w:r>
    </w:p>
    <w:p w14:paraId="06578428" w14:textId="77777777" w:rsidR="004A5083" w:rsidRDefault="004A5083" w:rsidP="004A5083">
      <w:pPr>
        <w:spacing w:after="0" w:line="240" w:lineRule="auto"/>
        <w:jc w:val="center"/>
      </w:pPr>
      <w:r>
        <w:rPr>
          <w:noProof/>
        </w:rPr>
        <w:t>Lenoir-Rhyne University</w:t>
      </w:r>
    </w:p>
    <w:p w14:paraId="66759705" w14:textId="77777777" w:rsidR="004A5083" w:rsidRDefault="004A5083" w:rsidP="004A5083">
      <w:pPr>
        <w:spacing w:after="0" w:line="240" w:lineRule="auto"/>
        <w:jc w:val="center"/>
      </w:pPr>
    </w:p>
    <w:p w14:paraId="482F8643" w14:textId="77777777" w:rsidR="004A5083" w:rsidRDefault="004A5083" w:rsidP="004A5083">
      <w:pPr>
        <w:spacing w:after="0" w:line="240" w:lineRule="auto"/>
        <w:rPr>
          <w:noProof/>
        </w:rPr>
      </w:pPr>
      <w:r>
        <w:rPr>
          <w:noProof/>
        </w:rPr>
        <w:t>Pseudomonas aeruginosa is a Gram-negative, aerobic bacterium responsible for a</w:t>
      </w:r>
    </w:p>
    <w:p w14:paraId="623EA44F" w14:textId="77777777" w:rsidR="004A5083" w:rsidRDefault="004A5083" w:rsidP="004A5083">
      <w:pPr>
        <w:spacing w:after="0" w:line="240" w:lineRule="auto"/>
        <w:rPr>
          <w:noProof/>
        </w:rPr>
      </w:pPr>
      <w:r>
        <w:rPr>
          <w:noProof/>
        </w:rPr>
        <w:t>variety of infections and typically resistant to many antimicrobials. Infections</w:t>
      </w:r>
    </w:p>
    <w:p w14:paraId="18326117" w14:textId="77777777" w:rsidR="004A5083" w:rsidRDefault="004A5083" w:rsidP="004A5083">
      <w:pPr>
        <w:spacing w:after="0" w:line="240" w:lineRule="auto"/>
        <w:rPr>
          <w:noProof/>
        </w:rPr>
      </w:pPr>
      <w:r>
        <w:rPr>
          <w:noProof/>
        </w:rPr>
        <w:t>caused by P. aeruginosa include those suffered by cystic fibrosis (CF) patients</w:t>
      </w:r>
    </w:p>
    <w:p w14:paraId="5FC36288" w14:textId="77777777" w:rsidR="004A5083" w:rsidRDefault="004A5083" w:rsidP="004A5083">
      <w:pPr>
        <w:spacing w:after="0" w:line="240" w:lineRule="auto"/>
        <w:rPr>
          <w:noProof/>
        </w:rPr>
      </w:pPr>
      <w:r>
        <w:rPr>
          <w:noProof/>
        </w:rPr>
        <w:t>whose recurring lung infections are responsible for their high morbidity and</w:t>
      </w:r>
    </w:p>
    <w:p w14:paraId="65A7D791" w14:textId="77777777" w:rsidR="004A5083" w:rsidRDefault="004A5083" w:rsidP="004A5083">
      <w:pPr>
        <w:spacing w:after="0" w:line="240" w:lineRule="auto"/>
        <w:rPr>
          <w:noProof/>
        </w:rPr>
      </w:pPr>
      <w:r>
        <w:rPr>
          <w:noProof/>
        </w:rPr>
        <w:t>mortality rates. Pseudomonas growth in lungs is often in the form of a complex</w:t>
      </w:r>
    </w:p>
    <w:p w14:paraId="7305BF8C" w14:textId="77777777" w:rsidR="004A5083" w:rsidRDefault="004A5083" w:rsidP="004A5083">
      <w:pPr>
        <w:spacing w:after="0" w:line="240" w:lineRule="auto"/>
        <w:rPr>
          <w:noProof/>
        </w:rPr>
      </w:pPr>
      <w:r>
        <w:rPr>
          <w:noProof/>
        </w:rPr>
        <w:t>bacterial matrix created in an environment of O2, mucus, carbon sources and</w:t>
      </w:r>
    </w:p>
    <w:p w14:paraId="3E9250F3" w14:textId="77777777" w:rsidR="004A5083" w:rsidRDefault="004A5083" w:rsidP="004A5083">
      <w:pPr>
        <w:spacing w:after="0" w:line="240" w:lineRule="auto"/>
        <w:rPr>
          <w:noProof/>
        </w:rPr>
      </w:pPr>
      <w:r>
        <w:rPr>
          <w:noProof/>
        </w:rPr>
        <w:t>substantial moisture, resulting in mature biofilms difficult to treat with conventional</w:t>
      </w:r>
    </w:p>
    <w:p w14:paraId="0E38541F" w14:textId="77777777" w:rsidR="004A5083" w:rsidRDefault="004A5083" w:rsidP="004A5083">
      <w:pPr>
        <w:spacing w:after="0" w:line="240" w:lineRule="auto"/>
        <w:rPr>
          <w:noProof/>
        </w:rPr>
      </w:pPr>
      <w:r>
        <w:rPr>
          <w:noProof/>
        </w:rPr>
        <w:lastRenderedPageBreak/>
        <w:t>antibiotics. In the current study, we tested the efficacy of several substances in</w:t>
      </w:r>
    </w:p>
    <w:p w14:paraId="21FFD493" w14:textId="77777777" w:rsidR="004A5083" w:rsidRDefault="004A5083" w:rsidP="004A5083">
      <w:pPr>
        <w:spacing w:after="0" w:line="240" w:lineRule="auto"/>
        <w:rPr>
          <w:noProof/>
        </w:rPr>
      </w:pPr>
      <w:r>
        <w:rPr>
          <w:noProof/>
        </w:rPr>
        <w:t>preventing biofilm formation or destabilizing existing biofilms in laboratory cultures</w:t>
      </w:r>
    </w:p>
    <w:p w14:paraId="6E8ABE6D" w14:textId="77777777" w:rsidR="004A5083" w:rsidRDefault="004A5083" w:rsidP="004A5083">
      <w:pPr>
        <w:spacing w:after="0" w:line="240" w:lineRule="auto"/>
        <w:rPr>
          <w:noProof/>
        </w:rPr>
      </w:pPr>
      <w:r>
        <w:rPr>
          <w:noProof/>
        </w:rPr>
        <w:t>of P. aeruginosa, including: (1) a bacteriophage specific to P. aeruginosa; (2)</w:t>
      </w:r>
    </w:p>
    <w:p w14:paraId="5BB8502F" w14:textId="77777777" w:rsidR="004A5083" w:rsidRDefault="004A5083" w:rsidP="004A5083">
      <w:pPr>
        <w:spacing w:after="0" w:line="240" w:lineRule="auto"/>
        <w:rPr>
          <w:noProof/>
        </w:rPr>
      </w:pPr>
      <w:r>
        <w:rPr>
          <w:noProof/>
        </w:rPr>
        <w:t>common laboratory surfactants; and (3) carvacrol, a phenolic monoterpenoid</w:t>
      </w:r>
    </w:p>
    <w:p w14:paraId="48E90D31" w14:textId="77777777" w:rsidR="004A5083" w:rsidRDefault="004A5083" w:rsidP="004A5083">
      <w:pPr>
        <w:spacing w:after="0" w:line="240" w:lineRule="auto"/>
        <w:rPr>
          <w:noProof/>
        </w:rPr>
      </w:pPr>
      <w:r>
        <w:rPr>
          <w:noProof/>
        </w:rPr>
        <w:t>metabolite of oregano leaves. Bacteriophage for this project was recovered from</w:t>
      </w:r>
    </w:p>
    <w:p w14:paraId="2FABDCC8" w14:textId="77777777" w:rsidR="004A5083" w:rsidRDefault="004A5083" w:rsidP="004A5083">
      <w:pPr>
        <w:spacing w:after="0" w:line="240" w:lineRule="auto"/>
        <w:rPr>
          <w:noProof/>
        </w:rPr>
      </w:pPr>
      <w:r>
        <w:rPr>
          <w:noProof/>
        </w:rPr>
        <w:t>the anoxic mixing tank of a wastewater treatment plant using well-established</w:t>
      </w:r>
    </w:p>
    <w:p w14:paraId="6F419F2C" w14:textId="77777777" w:rsidR="004A5083" w:rsidRDefault="004A5083" w:rsidP="004A5083">
      <w:pPr>
        <w:spacing w:after="0" w:line="240" w:lineRule="auto"/>
        <w:rPr>
          <w:noProof/>
        </w:rPr>
      </w:pPr>
      <w:r>
        <w:rPr>
          <w:noProof/>
        </w:rPr>
        <w:t>isolation methods. Pseudomonas aeruginosa strain 2401, a clinical isolate from a CF</w:t>
      </w:r>
    </w:p>
    <w:p w14:paraId="438455DE" w14:textId="77777777" w:rsidR="004A5083" w:rsidRDefault="004A5083" w:rsidP="004A5083">
      <w:pPr>
        <w:spacing w:after="0" w:line="240" w:lineRule="auto"/>
        <w:rPr>
          <w:noProof/>
        </w:rPr>
      </w:pPr>
      <w:r>
        <w:rPr>
          <w:noProof/>
        </w:rPr>
        <w:t>patient, was purchased from the American Type Culture Collection and grown in 48-</w:t>
      </w:r>
    </w:p>
    <w:p w14:paraId="46DEFB4B" w14:textId="77777777" w:rsidR="004A5083" w:rsidRDefault="004A5083" w:rsidP="004A5083">
      <w:pPr>
        <w:spacing w:after="0" w:line="240" w:lineRule="auto"/>
        <w:rPr>
          <w:noProof/>
        </w:rPr>
      </w:pPr>
      <w:r>
        <w:rPr>
          <w:noProof/>
        </w:rPr>
        <w:t>well culture plates containing tryptic soy broth. Bacteriophage, surfactants and</w:t>
      </w:r>
    </w:p>
    <w:p w14:paraId="735B3752" w14:textId="77777777" w:rsidR="004A5083" w:rsidRDefault="004A5083" w:rsidP="004A5083">
      <w:pPr>
        <w:spacing w:after="0" w:line="240" w:lineRule="auto"/>
        <w:rPr>
          <w:noProof/>
        </w:rPr>
      </w:pPr>
      <w:r>
        <w:rPr>
          <w:noProof/>
        </w:rPr>
        <w:t>carvacrol were added to the culture medium either before inoculation with P.</w:t>
      </w:r>
    </w:p>
    <w:p w14:paraId="0D664525" w14:textId="77777777" w:rsidR="004A5083" w:rsidRDefault="004A5083" w:rsidP="004A5083">
      <w:pPr>
        <w:spacing w:after="0" w:line="240" w:lineRule="auto"/>
        <w:rPr>
          <w:noProof/>
        </w:rPr>
      </w:pPr>
      <w:r>
        <w:rPr>
          <w:noProof/>
        </w:rPr>
        <w:t>aeruginosa or after inoculation and sufficient incubation time for biofilm formation,</w:t>
      </w:r>
    </w:p>
    <w:p w14:paraId="277755C3" w14:textId="77777777" w:rsidR="004A5083" w:rsidRDefault="004A5083" w:rsidP="004A5083">
      <w:pPr>
        <w:spacing w:after="0" w:line="240" w:lineRule="auto"/>
        <w:rPr>
          <w:noProof/>
        </w:rPr>
      </w:pPr>
      <w:r>
        <w:rPr>
          <w:noProof/>
        </w:rPr>
        <w:t>enabling us to assess the effect of test substances on prevention of biofilm</w:t>
      </w:r>
    </w:p>
    <w:p w14:paraId="2821F1F5" w14:textId="77777777" w:rsidR="004A5083" w:rsidRDefault="004A5083" w:rsidP="004A5083">
      <w:pPr>
        <w:spacing w:after="0" w:line="240" w:lineRule="auto"/>
        <w:rPr>
          <w:noProof/>
        </w:rPr>
      </w:pPr>
      <w:r>
        <w:rPr>
          <w:noProof/>
        </w:rPr>
        <w:t>formation and degradation of pre-formed biofilm. Early results showed substantial</w:t>
      </w:r>
    </w:p>
    <w:p w14:paraId="394C0EDC" w14:textId="77777777" w:rsidR="004A5083" w:rsidRDefault="004A5083" w:rsidP="004A5083">
      <w:pPr>
        <w:spacing w:after="0" w:line="240" w:lineRule="auto"/>
        <w:rPr>
          <w:noProof/>
        </w:rPr>
      </w:pPr>
      <w:r>
        <w:rPr>
          <w:noProof/>
        </w:rPr>
        <w:t>inhibition of biofilm production by Pseudomonas aeruginosa when bacteriophage,</w:t>
      </w:r>
    </w:p>
    <w:p w14:paraId="35E2D302" w14:textId="77777777" w:rsidR="004A5083" w:rsidRDefault="004A5083" w:rsidP="004A5083">
      <w:pPr>
        <w:spacing w:after="0" w:line="240" w:lineRule="auto"/>
        <w:rPr>
          <w:noProof/>
        </w:rPr>
      </w:pPr>
      <w:r>
        <w:rPr>
          <w:noProof/>
        </w:rPr>
        <w:t>polysorbate 20 or carvacrol were initially present in the growth medium. Results</w:t>
      </w:r>
    </w:p>
    <w:p w14:paraId="59C5B955" w14:textId="77777777" w:rsidR="004A5083" w:rsidRDefault="004A5083" w:rsidP="004A5083">
      <w:pPr>
        <w:spacing w:after="0" w:line="240" w:lineRule="auto"/>
        <w:rPr>
          <w:noProof/>
        </w:rPr>
      </w:pPr>
      <w:r>
        <w:rPr>
          <w:noProof/>
        </w:rPr>
        <w:t>from these initial experiments and from our biofilm degradation studies form the</w:t>
      </w:r>
    </w:p>
    <w:p w14:paraId="1163E845" w14:textId="77777777" w:rsidR="004A5083" w:rsidRDefault="004A5083" w:rsidP="004A5083">
      <w:pPr>
        <w:spacing w:after="0" w:line="240" w:lineRule="auto"/>
      </w:pPr>
      <w:r>
        <w:rPr>
          <w:noProof/>
        </w:rPr>
        <w:t>basis of a proposed alternative therapy for lung infections in CF patients.</w:t>
      </w:r>
    </w:p>
    <w:p w14:paraId="74A21A85" w14:textId="77777777" w:rsidR="0056023E" w:rsidRPr="00B051AC" w:rsidRDefault="0056023E" w:rsidP="005602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w:t>
        </w:r>
        <w:r w:rsidRPr="45BF4E85">
          <w:rPr>
            <w:rStyle w:val="Hyperlink"/>
            <w:rFonts w:ascii="Calibri" w:hAnsi="Calibri" w:cs="Calibri"/>
            <w:b/>
            <w:bCs/>
            <w:kern w:val="0"/>
            <w:sz w:val="22"/>
            <w:szCs w:val="22"/>
          </w:rPr>
          <w:t>f</w:t>
        </w:r>
        <w:r w:rsidRPr="45BF4E85">
          <w:rPr>
            <w:rStyle w:val="Hyperlink"/>
            <w:rFonts w:ascii="Calibri" w:hAnsi="Calibri" w:cs="Calibri"/>
            <w:b/>
            <w:bCs/>
            <w:kern w:val="0"/>
            <w:sz w:val="22"/>
            <w:szCs w:val="22"/>
          </w:rPr>
          <w:t xml:space="preserve"> Contents</w:t>
        </w:r>
      </w:hyperlink>
    </w:p>
    <w:p w14:paraId="40D2523E" w14:textId="77777777" w:rsidR="0056023E" w:rsidRDefault="0056023E" w:rsidP="0056023E">
      <w:pPr>
        <w:spacing w:after="0" w:line="240" w:lineRule="auto"/>
        <w:contextualSpacing/>
        <w:rPr>
          <w:rFonts w:ascii="Calibri" w:hAnsi="Calibri" w:cs="Calibri"/>
        </w:rPr>
      </w:pPr>
    </w:p>
    <w:p w14:paraId="5FA9F0AF"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3</w:t>
      </w:r>
    </w:p>
    <w:p w14:paraId="15835373"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Antimicrobial activity of Cuachalalate (</w:t>
      </w:r>
      <w:r w:rsidRPr="00EB2AA2">
        <w:rPr>
          <w:rFonts w:ascii="Calibri" w:hAnsi="Calibri" w:cs="Calibri"/>
          <w:b/>
          <w:bCs/>
          <w:i/>
          <w:iCs/>
          <w:noProof/>
          <w:sz w:val="28"/>
          <w:szCs w:val="28"/>
        </w:rPr>
        <w:t>Amphipterygium adstrigens</w:t>
      </w:r>
      <w:r w:rsidRPr="0092723F">
        <w:rPr>
          <w:rFonts w:ascii="Calibri" w:hAnsi="Calibri" w:cs="Calibri"/>
          <w:b/>
          <w:bCs/>
          <w:noProof/>
          <w:sz w:val="28"/>
          <w:szCs w:val="28"/>
        </w:rPr>
        <w:t>) via traditional folk remedy extraction methods.</w:t>
      </w:r>
    </w:p>
    <w:p w14:paraId="6A252F80" w14:textId="77777777" w:rsidR="004A5083" w:rsidRDefault="004A5083" w:rsidP="004A5083">
      <w:pPr>
        <w:spacing w:after="0" w:line="240" w:lineRule="auto"/>
        <w:jc w:val="center"/>
      </w:pPr>
      <w:r>
        <w:rPr>
          <w:noProof/>
        </w:rPr>
        <w:t>Lopez-Alvarez* Crystal* I. , Michelle S. Thomas.</w:t>
      </w:r>
    </w:p>
    <w:p w14:paraId="2F9C41B4" w14:textId="77777777" w:rsidR="004A5083" w:rsidRDefault="004A5083" w:rsidP="004A5083">
      <w:pPr>
        <w:spacing w:after="0" w:line="240" w:lineRule="auto"/>
        <w:jc w:val="center"/>
      </w:pPr>
      <w:r>
        <w:rPr>
          <w:noProof/>
        </w:rPr>
        <w:t>Campbell University</w:t>
      </w:r>
    </w:p>
    <w:p w14:paraId="18916811" w14:textId="77777777" w:rsidR="004A5083" w:rsidRDefault="004A5083" w:rsidP="004A5083">
      <w:pPr>
        <w:spacing w:after="0" w:line="240" w:lineRule="auto"/>
        <w:jc w:val="center"/>
      </w:pPr>
    </w:p>
    <w:p w14:paraId="1D520734" w14:textId="77777777" w:rsidR="004A5083" w:rsidRDefault="004A5083" w:rsidP="004A5083">
      <w:pPr>
        <w:spacing w:after="0" w:line="240" w:lineRule="auto"/>
      </w:pPr>
      <w:r>
        <w:rPr>
          <w:noProof/>
        </w:rPr>
        <w:t>Limited access to healthcare in many Latin American countries has contributed to the use of herbal medicine. Common herbal preparations include teas and tinctures derived from various plant parts, ranging from flower petals to tree bark. This study evaluated the antimicrobial efficacy of both aqueous and ethanolic extracts of a traditional herbal remedy. The bark of the Cuachalalate tree (Amphipterygium adstrigens), a species endemic to Mexico, was selected due to its established use in traditional medicine to treat inflammation, ulcers, and gastrointestinal disorders. Traditional consumption methods were replicated with modified bark quantities to assess antimicrobial activity. Three extraction methods were tested: tea steeping, tea decoction, and varying time infused tinctures. Antimicrobial activity was quantitatively measured using the Kirby Bauer disk diffusion assay, with sterile disks impregnated at time points pertinent to traditional consumption. Both the decoction and ethanolic extracts exhibited antimicrobial activity against Gram-positive bacteria (B.cereus, E.raffinosus, S.epidermidis). However, steeped tea extracts showed no detectable antimicrobial effect. In addition, the decoction was successful in inhibiting A.faecalis. The ethanolic extracts had no effect on the gram-negative (E.coli, K.(E)aerogenes, A.faecalis) bacteria. These findings support previous reports of Gram-positive antimicrobial activity in Cuachalalate bark and emphasize the importance of proper aqueous extraction techniques to obtain its bioactive compounds.</w:t>
      </w:r>
    </w:p>
    <w:p w14:paraId="13FCA4B5" w14:textId="77777777" w:rsidR="0056023E" w:rsidRPr="00B051AC" w:rsidRDefault="0056023E" w:rsidP="005602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DD55EA7"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4</w:t>
      </w:r>
    </w:p>
    <w:p w14:paraId="0D9CF8B9"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 xml:space="preserve">Growth of </w:t>
      </w:r>
      <w:r w:rsidRPr="00EB2AA2">
        <w:rPr>
          <w:rFonts w:ascii="Calibri" w:hAnsi="Calibri" w:cs="Calibri"/>
          <w:b/>
          <w:bCs/>
          <w:i/>
          <w:iCs/>
          <w:noProof/>
          <w:sz w:val="28"/>
          <w:szCs w:val="28"/>
        </w:rPr>
        <w:t>Fusobacterium nucleatum</w:t>
      </w:r>
      <w:r w:rsidRPr="0092723F">
        <w:rPr>
          <w:rFonts w:ascii="Calibri" w:hAnsi="Calibri" w:cs="Calibri"/>
          <w:b/>
          <w:bCs/>
          <w:noProof/>
          <w:sz w:val="28"/>
          <w:szCs w:val="28"/>
        </w:rPr>
        <w:t>: Method development and recovery of bacteriophage specific to the type strain</w:t>
      </w:r>
    </w:p>
    <w:p w14:paraId="59FE92B1" w14:textId="77777777" w:rsidR="004A5083" w:rsidRDefault="004A5083" w:rsidP="004A5083">
      <w:pPr>
        <w:spacing w:after="0" w:line="240" w:lineRule="auto"/>
        <w:jc w:val="center"/>
      </w:pPr>
      <w:r>
        <w:rPr>
          <w:noProof/>
        </w:rPr>
        <w:t>Evitt, Mallory*</w:t>
      </w:r>
    </w:p>
    <w:p w14:paraId="164E8711" w14:textId="77777777" w:rsidR="004A5083" w:rsidRDefault="004A5083" w:rsidP="004A5083">
      <w:pPr>
        <w:spacing w:after="0" w:line="240" w:lineRule="auto"/>
        <w:jc w:val="center"/>
      </w:pPr>
      <w:r>
        <w:rPr>
          <w:noProof/>
        </w:rPr>
        <w:t>Lenior-Rhyne University</w:t>
      </w:r>
    </w:p>
    <w:p w14:paraId="5DA046D4" w14:textId="77777777" w:rsidR="004A5083" w:rsidRDefault="004A5083" w:rsidP="004A5083">
      <w:pPr>
        <w:spacing w:after="0" w:line="240" w:lineRule="auto"/>
        <w:jc w:val="center"/>
      </w:pPr>
    </w:p>
    <w:p w14:paraId="68CA20EF" w14:textId="77777777" w:rsidR="004A5083" w:rsidRDefault="004A5083" w:rsidP="004A5083">
      <w:pPr>
        <w:spacing w:after="0" w:line="240" w:lineRule="auto"/>
        <w:rPr>
          <w:noProof/>
        </w:rPr>
      </w:pPr>
      <w:r>
        <w:rPr>
          <w:noProof/>
        </w:rPr>
        <w:t>Fusobacterium nucleatum is a fastidious, strictly anaerobic, Gram-negative</w:t>
      </w:r>
    </w:p>
    <w:p w14:paraId="2D5E5C93" w14:textId="77777777" w:rsidR="004A5083" w:rsidRDefault="004A5083" w:rsidP="004A5083">
      <w:pPr>
        <w:spacing w:after="0" w:line="240" w:lineRule="auto"/>
        <w:rPr>
          <w:noProof/>
        </w:rPr>
      </w:pPr>
      <w:r>
        <w:rPr>
          <w:noProof/>
        </w:rPr>
        <w:t>bacterium linked to severe periodontal disease and tumor metastasis in</w:t>
      </w:r>
    </w:p>
    <w:p w14:paraId="18122E86" w14:textId="77777777" w:rsidR="004A5083" w:rsidRDefault="004A5083" w:rsidP="004A5083">
      <w:pPr>
        <w:spacing w:after="0" w:line="240" w:lineRule="auto"/>
        <w:rPr>
          <w:noProof/>
        </w:rPr>
      </w:pPr>
      <w:r>
        <w:rPr>
          <w:noProof/>
        </w:rPr>
        <w:t>humans. Antibiotics such as clindamycin and metronidazole are commonly</w:t>
      </w:r>
    </w:p>
    <w:p w14:paraId="0C8F8A39" w14:textId="77777777" w:rsidR="004A5083" w:rsidRDefault="004A5083" w:rsidP="004A5083">
      <w:pPr>
        <w:spacing w:after="0" w:line="240" w:lineRule="auto"/>
        <w:rPr>
          <w:noProof/>
        </w:rPr>
      </w:pPr>
      <w:r>
        <w:rPr>
          <w:noProof/>
        </w:rPr>
        <w:t>prescribed to treat Fusobacterium infections, but as drug resistance spreads among</w:t>
      </w:r>
    </w:p>
    <w:p w14:paraId="79B66161" w14:textId="77777777" w:rsidR="004A5083" w:rsidRDefault="004A5083" w:rsidP="004A5083">
      <w:pPr>
        <w:spacing w:after="0" w:line="240" w:lineRule="auto"/>
        <w:rPr>
          <w:noProof/>
        </w:rPr>
      </w:pPr>
      <w:r>
        <w:rPr>
          <w:noProof/>
        </w:rPr>
        <w:t>bacterial pathogens, there is an urgent need to pursue alternatives to conventional</w:t>
      </w:r>
    </w:p>
    <w:p w14:paraId="64C2BAAD" w14:textId="77777777" w:rsidR="004A5083" w:rsidRDefault="004A5083" w:rsidP="004A5083">
      <w:pPr>
        <w:spacing w:after="0" w:line="240" w:lineRule="auto"/>
        <w:rPr>
          <w:noProof/>
        </w:rPr>
      </w:pPr>
      <w:r>
        <w:rPr>
          <w:noProof/>
        </w:rPr>
        <w:t>antimicrobial therapies for infections caused by multidrug-resistant microorganisms.</w:t>
      </w:r>
    </w:p>
    <w:p w14:paraId="1D80632E" w14:textId="77777777" w:rsidR="004A5083" w:rsidRDefault="004A5083" w:rsidP="004A5083">
      <w:pPr>
        <w:spacing w:after="0" w:line="240" w:lineRule="auto"/>
        <w:rPr>
          <w:noProof/>
        </w:rPr>
      </w:pPr>
      <w:r>
        <w:rPr>
          <w:noProof/>
        </w:rPr>
        <w:t>In the current study we describe (1) the development of specific methods for</w:t>
      </w:r>
    </w:p>
    <w:p w14:paraId="61699781" w14:textId="77777777" w:rsidR="004A5083" w:rsidRDefault="004A5083" w:rsidP="004A5083">
      <w:pPr>
        <w:spacing w:after="0" w:line="240" w:lineRule="auto"/>
        <w:rPr>
          <w:noProof/>
        </w:rPr>
      </w:pPr>
      <w:r>
        <w:rPr>
          <w:noProof/>
        </w:rPr>
        <w:t>culturing Fusobacterium nucleatum in our laboratory, including the environmental</w:t>
      </w:r>
    </w:p>
    <w:p w14:paraId="2AE607C1" w14:textId="77777777" w:rsidR="004A5083" w:rsidRDefault="004A5083" w:rsidP="004A5083">
      <w:pPr>
        <w:spacing w:after="0" w:line="240" w:lineRule="auto"/>
        <w:rPr>
          <w:noProof/>
        </w:rPr>
      </w:pPr>
      <w:r>
        <w:rPr>
          <w:noProof/>
        </w:rPr>
        <w:t>conditions and media formulations required to obtain vigorous growth of the</w:t>
      </w:r>
    </w:p>
    <w:p w14:paraId="55C4536D" w14:textId="77777777" w:rsidR="004A5083" w:rsidRDefault="004A5083" w:rsidP="004A5083">
      <w:pPr>
        <w:spacing w:after="0" w:line="240" w:lineRule="auto"/>
        <w:rPr>
          <w:noProof/>
        </w:rPr>
      </w:pPr>
      <w:r>
        <w:rPr>
          <w:noProof/>
        </w:rPr>
        <w:t>organism; and (2) the procedure for isolation and amplification of lytic</w:t>
      </w:r>
    </w:p>
    <w:p w14:paraId="67C14E0B" w14:textId="77777777" w:rsidR="004A5083" w:rsidRDefault="004A5083" w:rsidP="004A5083">
      <w:pPr>
        <w:spacing w:after="0" w:line="240" w:lineRule="auto"/>
        <w:rPr>
          <w:noProof/>
        </w:rPr>
      </w:pPr>
      <w:r>
        <w:rPr>
          <w:noProof/>
        </w:rPr>
        <w:t>bacteriophages capable of infecting and rupturing F. nucleatum cells. Fusobacterium</w:t>
      </w:r>
    </w:p>
    <w:p w14:paraId="7DDBE6D7" w14:textId="77777777" w:rsidR="004A5083" w:rsidRDefault="004A5083" w:rsidP="004A5083">
      <w:pPr>
        <w:spacing w:after="0" w:line="240" w:lineRule="auto"/>
        <w:rPr>
          <w:noProof/>
        </w:rPr>
      </w:pPr>
      <w:r>
        <w:rPr>
          <w:noProof/>
        </w:rPr>
        <w:t>nucleatum, subspecies nucleatum, was purchased from American Type Culture</w:t>
      </w:r>
    </w:p>
    <w:p w14:paraId="7833C70E" w14:textId="77777777" w:rsidR="004A5083" w:rsidRDefault="004A5083" w:rsidP="004A5083">
      <w:pPr>
        <w:spacing w:after="0" w:line="240" w:lineRule="auto"/>
        <w:rPr>
          <w:noProof/>
        </w:rPr>
      </w:pPr>
      <w:r>
        <w:rPr>
          <w:noProof/>
        </w:rPr>
        <w:t>Collection and aseptically transferred to tryptic soy broth and tryptic soy agar, with</w:t>
      </w:r>
    </w:p>
    <w:p w14:paraId="75685526" w14:textId="77777777" w:rsidR="004A5083" w:rsidRDefault="004A5083" w:rsidP="004A5083">
      <w:pPr>
        <w:spacing w:after="0" w:line="240" w:lineRule="auto"/>
        <w:rPr>
          <w:noProof/>
        </w:rPr>
      </w:pPr>
      <w:r>
        <w:rPr>
          <w:noProof/>
        </w:rPr>
        <w:t>or without sheep’s blood enrichment. All media were pretreated with sodium</w:t>
      </w:r>
    </w:p>
    <w:p w14:paraId="3E9796C1" w14:textId="77777777" w:rsidR="004A5083" w:rsidRDefault="004A5083" w:rsidP="004A5083">
      <w:pPr>
        <w:spacing w:after="0" w:line="240" w:lineRule="auto"/>
        <w:rPr>
          <w:noProof/>
        </w:rPr>
      </w:pPr>
      <w:r>
        <w:rPr>
          <w:noProof/>
        </w:rPr>
        <w:t>hydrosulfite to remove dissolved oxygen and incubated in an anaerobic chamber</w:t>
      </w:r>
    </w:p>
    <w:p w14:paraId="587F3F02" w14:textId="77777777" w:rsidR="004A5083" w:rsidRDefault="004A5083" w:rsidP="004A5083">
      <w:pPr>
        <w:spacing w:after="0" w:line="240" w:lineRule="auto"/>
        <w:rPr>
          <w:noProof/>
        </w:rPr>
      </w:pPr>
      <w:r>
        <w:rPr>
          <w:noProof/>
        </w:rPr>
        <w:t>under a slow N2 purge. After one week, pure colonies of Fusobacterium nucleatum</w:t>
      </w:r>
    </w:p>
    <w:p w14:paraId="24A101DA" w14:textId="77777777" w:rsidR="004A5083" w:rsidRDefault="004A5083" w:rsidP="004A5083">
      <w:pPr>
        <w:spacing w:after="0" w:line="240" w:lineRule="auto"/>
        <w:rPr>
          <w:noProof/>
        </w:rPr>
      </w:pPr>
      <w:r>
        <w:rPr>
          <w:noProof/>
        </w:rPr>
        <w:t>were recovered from reduced agar. Good growth of F. nucleatum also was obtained</w:t>
      </w:r>
    </w:p>
    <w:p w14:paraId="4FD0BEAB" w14:textId="77777777" w:rsidR="004A5083" w:rsidRDefault="004A5083" w:rsidP="004A5083">
      <w:pPr>
        <w:spacing w:after="0" w:line="240" w:lineRule="auto"/>
        <w:rPr>
          <w:noProof/>
        </w:rPr>
      </w:pPr>
      <w:r>
        <w:rPr>
          <w:noProof/>
        </w:rPr>
        <w:t>using reduced tryptic soy broth in tightly-capped tubes completely filled with media</w:t>
      </w:r>
    </w:p>
    <w:p w14:paraId="162F81FC" w14:textId="77777777" w:rsidR="004A5083" w:rsidRDefault="004A5083" w:rsidP="004A5083">
      <w:pPr>
        <w:spacing w:after="0" w:line="240" w:lineRule="auto"/>
        <w:rPr>
          <w:noProof/>
        </w:rPr>
      </w:pPr>
      <w:r>
        <w:rPr>
          <w:noProof/>
        </w:rPr>
        <w:t>to prevent O2 intrusion. Broth cultures of F. nucleatum were chosen to pursue</w:t>
      </w:r>
    </w:p>
    <w:p w14:paraId="379A6E8C" w14:textId="77777777" w:rsidR="004A5083" w:rsidRDefault="004A5083" w:rsidP="004A5083">
      <w:pPr>
        <w:spacing w:after="0" w:line="240" w:lineRule="auto"/>
        <w:rPr>
          <w:noProof/>
        </w:rPr>
      </w:pPr>
      <w:r>
        <w:rPr>
          <w:noProof/>
        </w:rPr>
        <w:t>recovery of strain-specific bacteriophages in low-O2 influent sampled from the</w:t>
      </w:r>
    </w:p>
    <w:p w14:paraId="3A8FCE12" w14:textId="77777777" w:rsidR="004A5083" w:rsidRDefault="004A5083" w:rsidP="004A5083">
      <w:pPr>
        <w:spacing w:after="0" w:line="240" w:lineRule="auto"/>
        <w:rPr>
          <w:noProof/>
        </w:rPr>
      </w:pPr>
      <w:r>
        <w:rPr>
          <w:noProof/>
        </w:rPr>
        <w:t>anoxic mixing tank at a local wastewater treatment plant. Bacteriophages</w:t>
      </w:r>
    </w:p>
    <w:p w14:paraId="39E160E1" w14:textId="77777777" w:rsidR="004A5083" w:rsidRDefault="004A5083" w:rsidP="004A5083">
      <w:pPr>
        <w:spacing w:after="0" w:line="240" w:lineRule="auto"/>
        <w:rPr>
          <w:noProof/>
        </w:rPr>
      </w:pPr>
      <w:r>
        <w:rPr>
          <w:noProof/>
        </w:rPr>
        <w:t>recovered in this manner are part of a proposed two-step method for using both</w:t>
      </w:r>
    </w:p>
    <w:p w14:paraId="164E7780" w14:textId="77777777" w:rsidR="004A5083" w:rsidRDefault="004A5083" w:rsidP="004A5083">
      <w:pPr>
        <w:spacing w:after="0" w:line="240" w:lineRule="auto"/>
      </w:pPr>
      <w:r>
        <w:rPr>
          <w:noProof/>
        </w:rPr>
        <w:t>phage and conventional antibiotics to control growth of Fusobacterium nucleatum.</w:t>
      </w:r>
    </w:p>
    <w:p w14:paraId="269CA2C3" w14:textId="77777777" w:rsidR="0056023E" w:rsidRPr="00B051AC" w:rsidRDefault="0056023E" w:rsidP="005602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C6CAB70" w14:textId="77777777" w:rsidR="004A5083" w:rsidRPr="00971952" w:rsidRDefault="004A5083" w:rsidP="009037F7">
      <w:pPr>
        <w:spacing w:after="0"/>
        <w:jc w:val="center"/>
        <w:rPr>
          <w:b/>
          <w:bCs/>
          <w:sz w:val="26"/>
          <w:szCs w:val="26"/>
        </w:rPr>
      </w:pPr>
      <w:r w:rsidRPr="00971952">
        <w:rPr>
          <w:b/>
          <w:bCs/>
          <w:sz w:val="26"/>
          <w:szCs w:val="26"/>
        </w:rPr>
        <w:t xml:space="preserve">Oral Presentation Abstract </w:t>
      </w:r>
      <w:r w:rsidRPr="0092723F">
        <w:rPr>
          <w:b/>
          <w:bCs/>
          <w:noProof/>
          <w:sz w:val="26"/>
          <w:szCs w:val="26"/>
        </w:rPr>
        <w:t>5</w:t>
      </w:r>
    </w:p>
    <w:p w14:paraId="1FF9D383"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Antimicrobial activity of cranberry, kiwi, and green-tea extracts against selected oral bacteria</w:t>
      </w:r>
    </w:p>
    <w:p w14:paraId="4E340AC0" w14:textId="77777777" w:rsidR="004A5083" w:rsidRDefault="004A5083" w:rsidP="004A5083">
      <w:pPr>
        <w:spacing w:after="0" w:line="240" w:lineRule="auto"/>
        <w:jc w:val="center"/>
      </w:pPr>
      <w:r>
        <w:rPr>
          <w:noProof/>
        </w:rPr>
        <w:t>Hull, Davis*</w:t>
      </w:r>
    </w:p>
    <w:p w14:paraId="3D8D5080" w14:textId="77777777" w:rsidR="004A5083" w:rsidRDefault="004A5083" w:rsidP="004A5083">
      <w:pPr>
        <w:spacing w:after="0" w:line="240" w:lineRule="auto"/>
        <w:jc w:val="center"/>
      </w:pPr>
      <w:r>
        <w:rPr>
          <w:noProof/>
        </w:rPr>
        <w:t>Lenoir-Rhyne University</w:t>
      </w:r>
    </w:p>
    <w:p w14:paraId="715615CA" w14:textId="77777777" w:rsidR="004A5083" w:rsidRDefault="004A5083" w:rsidP="004A5083">
      <w:pPr>
        <w:spacing w:after="0" w:line="240" w:lineRule="auto"/>
        <w:jc w:val="center"/>
      </w:pPr>
    </w:p>
    <w:p w14:paraId="0E8ED7AD" w14:textId="77777777" w:rsidR="004A5083" w:rsidRDefault="004A5083" w:rsidP="004A5083">
      <w:pPr>
        <w:spacing w:after="0" w:line="240" w:lineRule="auto"/>
        <w:rPr>
          <w:noProof/>
        </w:rPr>
      </w:pPr>
      <w:r>
        <w:rPr>
          <w:noProof/>
        </w:rPr>
        <w:t>Oral health is a critical component of overall human wellbeing. Certain oral bacteria</w:t>
      </w:r>
    </w:p>
    <w:p w14:paraId="18F4D3E7" w14:textId="77777777" w:rsidR="004A5083" w:rsidRDefault="004A5083" w:rsidP="004A5083">
      <w:pPr>
        <w:spacing w:after="0" w:line="240" w:lineRule="auto"/>
        <w:rPr>
          <w:noProof/>
        </w:rPr>
      </w:pPr>
      <w:r>
        <w:rPr>
          <w:noProof/>
        </w:rPr>
        <w:t>not only cause dental diseases but are also linked to serious systemic infections if</w:t>
      </w:r>
    </w:p>
    <w:p w14:paraId="03720669" w14:textId="77777777" w:rsidR="004A5083" w:rsidRDefault="004A5083" w:rsidP="004A5083">
      <w:pPr>
        <w:spacing w:after="0" w:line="240" w:lineRule="auto"/>
        <w:rPr>
          <w:noProof/>
        </w:rPr>
      </w:pPr>
      <w:r>
        <w:rPr>
          <w:noProof/>
        </w:rPr>
        <w:t>they make their way into the bloodstream. While readily-available oral hygiene</w:t>
      </w:r>
    </w:p>
    <w:p w14:paraId="486C942E" w14:textId="77777777" w:rsidR="004A5083" w:rsidRDefault="004A5083" w:rsidP="004A5083">
      <w:pPr>
        <w:spacing w:after="0" w:line="240" w:lineRule="auto"/>
        <w:rPr>
          <w:noProof/>
        </w:rPr>
      </w:pPr>
      <w:r>
        <w:rPr>
          <w:noProof/>
        </w:rPr>
        <w:t>products help control bacterial growth and dental carries, there is an increasing</w:t>
      </w:r>
    </w:p>
    <w:p w14:paraId="087D7EBB" w14:textId="77777777" w:rsidR="004A5083" w:rsidRDefault="004A5083" w:rsidP="004A5083">
      <w:pPr>
        <w:spacing w:after="0" w:line="240" w:lineRule="auto"/>
        <w:rPr>
          <w:noProof/>
        </w:rPr>
      </w:pPr>
      <w:r>
        <w:rPr>
          <w:noProof/>
        </w:rPr>
        <w:lastRenderedPageBreak/>
        <w:t>interest in using plant extracts and essential oils as antimicrobial adjuncts that</w:t>
      </w:r>
    </w:p>
    <w:p w14:paraId="5173937D" w14:textId="77777777" w:rsidR="004A5083" w:rsidRDefault="004A5083" w:rsidP="004A5083">
      <w:pPr>
        <w:spacing w:after="0" w:line="240" w:lineRule="auto"/>
        <w:rPr>
          <w:noProof/>
        </w:rPr>
      </w:pPr>
      <w:r>
        <w:rPr>
          <w:noProof/>
        </w:rPr>
        <w:t>could be used alongside traditional oral regimens. Here we explore the antimicrobial</w:t>
      </w:r>
    </w:p>
    <w:p w14:paraId="59EE0E28" w14:textId="77777777" w:rsidR="004A5083" w:rsidRDefault="004A5083" w:rsidP="004A5083">
      <w:pPr>
        <w:spacing w:after="0" w:line="240" w:lineRule="auto"/>
        <w:rPr>
          <w:noProof/>
        </w:rPr>
      </w:pPr>
      <w:r>
        <w:rPr>
          <w:noProof/>
        </w:rPr>
        <w:t>properties of aqueous or ethanolic extracts of cranberry fruit, green tea leaves, and</w:t>
      </w:r>
    </w:p>
    <w:p w14:paraId="1CA1F604" w14:textId="77777777" w:rsidR="004A5083" w:rsidRDefault="004A5083" w:rsidP="004A5083">
      <w:pPr>
        <w:spacing w:after="0" w:line="240" w:lineRule="auto"/>
        <w:rPr>
          <w:noProof/>
        </w:rPr>
      </w:pPr>
      <w:r>
        <w:rPr>
          <w:noProof/>
        </w:rPr>
        <w:t>kiwi against selected oral bacteria isolates. Oral bacteria were recovered from</w:t>
      </w:r>
    </w:p>
    <w:p w14:paraId="0C67B6FF" w14:textId="77777777" w:rsidR="004A5083" w:rsidRDefault="004A5083" w:rsidP="004A5083">
      <w:pPr>
        <w:spacing w:after="0" w:line="240" w:lineRule="auto"/>
        <w:rPr>
          <w:noProof/>
        </w:rPr>
      </w:pPr>
      <w:r>
        <w:rPr>
          <w:noProof/>
        </w:rPr>
        <w:t>human saliva sampled with sterile swabs and immediately streaked onto tryptic soy</w:t>
      </w:r>
    </w:p>
    <w:p w14:paraId="01E40951" w14:textId="77777777" w:rsidR="004A5083" w:rsidRDefault="004A5083" w:rsidP="004A5083">
      <w:pPr>
        <w:spacing w:after="0" w:line="240" w:lineRule="auto"/>
        <w:rPr>
          <w:noProof/>
        </w:rPr>
      </w:pPr>
      <w:r>
        <w:rPr>
          <w:noProof/>
        </w:rPr>
        <w:t xml:space="preserve">agar and incubated at 37 </w:t>
      </w:r>
      <w:r>
        <w:rPr>
          <w:rFonts w:ascii="Arial" w:hAnsi="Arial" w:cs="Arial"/>
          <w:noProof/>
        </w:rPr>
        <w:t>ͦ</w:t>
      </w:r>
      <w:r>
        <w:rPr>
          <w:noProof/>
        </w:rPr>
        <w:t>C. Three of the resulting bacterial colonies were sampled</w:t>
      </w:r>
    </w:p>
    <w:p w14:paraId="24461024" w14:textId="77777777" w:rsidR="004A5083" w:rsidRDefault="004A5083" w:rsidP="004A5083">
      <w:pPr>
        <w:spacing w:after="0" w:line="240" w:lineRule="auto"/>
        <w:rPr>
          <w:noProof/>
        </w:rPr>
      </w:pPr>
      <w:r>
        <w:rPr>
          <w:noProof/>
        </w:rPr>
        <w:t>aseptically, characterized by Gram staining, and transferred to 48-well culture</w:t>
      </w:r>
    </w:p>
    <w:p w14:paraId="2EE5F2E6" w14:textId="77777777" w:rsidR="004A5083" w:rsidRDefault="004A5083" w:rsidP="004A5083">
      <w:pPr>
        <w:spacing w:after="0" w:line="240" w:lineRule="auto"/>
        <w:rPr>
          <w:noProof/>
        </w:rPr>
      </w:pPr>
      <w:r>
        <w:rPr>
          <w:noProof/>
        </w:rPr>
        <w:t>plates containing tryptic soy broth and various concentrations of each plant extract</w:t>
      </w:r>
    </w:p>
    <w:p w14:paraId="46A4266A" w14:textId="77777777" w:rsidR="004A5083" w:rsidRDefault="004A5083" w:rsidP="004A5083">
      <w:pPr>
        <w:spacing w:after="0" w:line="240" w:lineRule="auto"/>
        <w:rPr>
          <w:noProof/>
        </w:rPr>
      </w:pPr>
      <w:r>
        <w:rPr>
          <w:noProof/>
        </w:rPr>
        <w:t>to calculate minimum bactericidal concentrations (MBCs) of the extracts. MBCs</w:t>
      </w:r>
    </w:p>
    <w:p w14:paraId="22628794" w14:textId="77777777" w:rsidR="004A5083" w:rsidRDefault="004A5083" w:rsidP="004A5083">
      <w:pPr>
        <w:spacing w:after="0" w:line="240" w:lineRule="auto"/>
        <w:rPr>
          <w:noProof/>
        </w:rPr>
      </w:pPr>
      <w:r>
        <w:rPr>
          <w:noProof/>
        </w:rPr>
        <w:t>were determined by sampling wells of each of the three oral bacteria growing in</w:t>
      </w:r>
    </w:p>
    <w:p w14:paraId="38F7EECA" w14:textId="77777777" w:rsidR="004A5083" w:rsidRDefault="004A5083" w:rsidP="004A5083">
      <w:pPr>
        <w:spacing w:after="0" w:line="240" w:lineRule="auto"/>
        <w:rPr>
          <w:noProof/>
        </w:rPr>
      </w:pPr>
      <w:r>
        <w:rPr>
          <w:noProof/>
        </w:rPr>
        <w:t>increasing concentrations of the extracts and streaking the samples onto agar</w:t>
      </w:r>
    </w:p>
    <w:p w14:paraId="1A9093CD" w14:textId="77777777" w:rsidR="004A5083" w:rsidRDefault="004A5083" w:rsidP="004A5083">
      <w:pPr>
        <w:spacing w:after="0" w:line="240" w:lineRule="auto"/>
        <w:rPr>
          <w:noProof/>
        </w:rPr>
      </w:pPr>
      <w:r>
        <w:rPr>
          <w:noProof/>
        </w:rPr>
        <w:t>plates to establish which concentration completely inhibited growth of the test</w:t>
      </w:r>
    </w:p>
    <w:p w14:paraId="3782DFD6" w14:textId="77777777" w:rsidR="004A5083" w:rsidRDefault="004A5083" w:rsidP="004A5083">
      <w:pPr>
        <w:spacing w:after="0" w:line="240" w:lineRule="auto"/>
        <w:rPr>
          <w:noProof/>
        </w:rPr>
      </w:pPr>
      <w:r>
        <w:rPr>
          <w:noProof/>
        </w:rPr>
        <w:t>bacterium. We also made microscopic observations of the physical damage to</w:t>
      </w:r>
    </w:p>
    <w:p w14:paraId="32D1EFB5" w14:textId="77777777" w:rsidR="004A5083" w:rsidRDefault="004A5083" w:rsidP="004A5083">
      <w:pPr>
        <w:spacing w:after="0" w:line="240" w:lineRule="auto"/>
        <w:rPr>
          <w:noProof/>
        </w:rPr>
      </w:pPr>
      <w:r>
        <w:rPr>
          <w:noProof/>
        </w:rPr>
        <w:t>bacterial cells caused by some of the extracts. We proposed specific mechanisms</w:t>
      </w:r>
    </w:p>
    <w:p w14:paraId="3AE5B9DD" w14:textId="77777777" w:rsidR="004A5083" w:rsidRDefault="004A5083" w:rsidP="004A5083">
      <w:pPr>
        <w:spacing w:after="0" w:line="240" w:lineRule="auto"/>
        <w:rPr>
          <w:noProof/>
        </w:rPr>
      </w:pPr>
      <w:r>
        <w:rPr>
          <w:noProof/>
        </w:rPr>
        <w:t>for this damage and measured the effects of cell injury on antibiotic sensitivity in</w:t>
      </w:r>
    </w:p>
    <w:p w14:paraId="1A18153A" w14:textId="77777777" w:rsidR="004A5083" w:rsidRDefault="004A5083" w:rsidP="004A5083">
      <w:pPr>
        <w:spacing w:after="0" w:line="240" w:lineRule="auto"/>
        <w:rPr>
          <w:noProof/>
        </w:rPr>
      </w:pPr>
      <w:r>
        <w:rPr>
          <w:noProof/>
        </w:rPr>
        <w:t>vitro. The inhibition of and cell damage to selected oral bacteria isolates suggests</w:t>
      </w:r>
    </w:p>
    <w:p w14:paraId="28F2FF8E" w14:textId="77777777" w:rsidR="004A5083" w:rsidRDefault="004A5083" w:rsidP="004A5083">
      <w:pPr>
        <w:spacing w:after="0" w:line="240" w:lineRule="auto"/>
        <w:rPr>
          <w:noProof/>
        </w:rPr>
      </w:pPr>
      <w:r>
        <w:rPr>
          <w:noProof/>
        </w:rPr>
        <w:t>that plant-derived compounds may offer supplemental support to routine care of</w:t>
      </w:r>
    </w:p>
    <w:p w14:paraId="0D42A7E1" w14:textId="77777777" w:rsidR="004A5083" w:rsidRDefault="004A5083" w:rsidP="004A5083">
      <w:pPr>
        <w:spacing w:after="0" w:line="240" w:lineRule="auto"/>
      </w:pPr>
      <w:r>
        <w:rPr>
          <w:noProof/>
        </w:rPr>
        <w:t>teeth and gums and limit the damage caused by oral microbiota.</w:t>
      </w:r>
    </w:p>
    <w:p w14:paraId="512F2C8B" w14:textId="25AA762B" w:rsidR="004A5083" w:rsidRPr="009037F7" w:rsidRDefault="009037F7" w:rsidP="009037F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9CCA71E"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6</w:t>
      </w:r>
    </w:p>
    <w:p w14:paraId="5B33DC79"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Evaluating non-synthetic soil amendments to improve soil chemical properties in managed turfgrass</w:t>
      </w:r>
    </w:p>
    <w:p w14:paraId="6F9DFF19" w14:textId="77777777" w:rsidR="004A5083" w:rsidRDefault="004A5083" w:rsidP="004A5083">
      <w:pPr>
        <w:spacing w:after="0" w:line="240" w:lineRule="auto"/>
        <w:jc w:val="center"/>
      </w:pPr>
      <w:r>
        <w:rPr>
          <w:noProof/>
        </w:rPr>
        <w:t>Diamond, Zachary*, Kelsey Bitting</w:t>
      </w:r>
    </w:p>
    <w:p w14:paraId="1B504690" w14:textId="77777777" w:rsidR="004A5083" w:rsidRDefault="004A5083" w:rsidP="004A5083">
      <w:pPr>
        <w:spacing w:after="0" w:line="240" w:lineRule="auto"/>
        <w:jc w:val="center"/>
      </w:pPr>
      <w:r>
        <w:rPr>
          <w:noProof/>
        </w:rPr>
        <w:t>Elon University</w:t>
      </w:r>
    </w:p>
    <w:p w14:paraId="71AFCC1D" w14:textId="77777777" w:rsidR="004A5083" w:rsidRDefault="004A5083" w:rsidP="004A5083">
      <w:pPr>
        <w:spacing w:after="0" w:line="240" w:lineRule="auto"/>
        <w:jc w:val="center"/>
      </w:pPr>
    </w:p>
    <w:p w14:paraId="00367185" w14:textId="77777777" w:rsidR="004A5083" w:rsidRDefault="004A5083" w:rsidP="004A5083">
      <w:pPr>
        <w:spacing w:after="0" w:line="240" w:lineRule="auto"/>
      </w:pPr>
      <w:r>
        <w:rPr>
          <w:noProof/>
        </w:rPr>
        <w:t>Turfgrass systems cover over 40 million acres in the United States, presenting a substantial opportunity to enhance soil health and improve carbon sequestration, through sustainable management practices. Turfgrass management often relies on synthetic fertilizers and other chemical inputs, which can have unintended ecological impacts. This study evaluates whether nonsynthetic soil amendments–biochar, spent coffee grounds, and basalt rock dust–influence soil organic carbon (SOC), pH, cation exchange capacity (CEC), and humic matter (HM) in a lightly managed turfgrass lawn. Biochar and coffee grounds act as direct carbon inputs, while basalt rock dust may promote carbon sequestration through enhanced rock weathering. Thirty-five one-square-meter plots were marked, and five plots were treated with each amendment at two application rates, with amendments reapplied quarterly. The remaining five plots were reserved as unamended control plots. Soil samples were collected at each sampling period for loss-on-ignition analysis to determine SOC, along with repeated pH measurements. Repeated measures mixed-model analysis revealed a significant effect of amendment (p &lt; 0.0001) and sampling date (p = 0.0001) on SOC, while the amendment × date interaction was not significant (p = 0.126), suggesting no evidence of shifting treatment differences over time. Averaged across sampling dates, high-rate biochar (1 kg m</w:t>
      </w:r>
      <w:r>
        <w:rPr>
          <w:rFonts w:ascii="Cambria Math" w:hAnsi="Cambria Math" w:cs="Cambria Math"/>
          <w:noProof/>
        </w:rPr>
        <w:t>⁻</w:t>
      </w:r>
      <w:r>
        <w:rPr>
          <w:rFonts w:ascii="Aptos" w:hAnsi="Aptos" w:cs="Aptos"/>
          <w:noProof/>
        </w:rPr>
        <w:t>²</w:t>
      </w:r>
      <w:r>
        <w:rPr>
          <w:noProof/>
        </w:rPr>
        <w:t>) increased SOC by 16.2% relative to control, while high-rate coffee grounds (1 kg m</w:t>
      </w:r>
      <w:r>
        <w:rPr>
          <w:rFonts w:ascii="Cambria Math" w:hAnsi="Cambria Math" w:cs="Cambria Math"/>
          <w:noProof/>
        </w:rPr>
        <w:t>⁻</w:t>
      </w:r>
      <w:r>
        <w:rPr>
          <w:rFonts w:ascii="Aptos" w:hAnsi="Aptos" w:cs="Aptos"/>
          <w:noProof/>
        </w:rPr>
        <w:t>²</w:t>
      </w:r>
      <w:r>
        <w:rPr>
          <w:noProof/>
        </w:rPr>
        <w:t xml:space="preserve">) increased SOC by 12.8%. Lower application rates produced smaller but </w:t>
      </w:r>
      <w:r>
        <w:rPr>
          <w:noProof/>
        </w:rPr>
        <w:lastRenderedPageBreak/>
        <w:t>significant gains, while basalt treatments did not differ significantly from the control over the one year study period, suggesting limited short term effects compared with the carbon containing amendments. End-of-study laboratory analysis further indicated higher HM and modestly elevated CEC under high-rate biochar and coffee grounds compared to the control, with minimal shifts in soil pH. These findings demonstrate that carbon containing amendments, particularly biochar applications, can sustainably elevate SOC and associated soil chemical properties in managed turf systems over a one-year period.</w:t>
      </w:r>
    </w:p>
    <w:p w14:paraId="43ADADE5" w14:textId="095FE403" w:rsidR="004A5083" w:rsidRPr="009037F7" w:rsidRDefault="009037F7" w:rsidP="009037F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8F4F4F8"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7</w:t>
      </w:r>
    </w:p>
    <w:p w14:paraId="6866C0F5"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Conservation biology research literacy: a framework for bridging the gap between scientists and the public</w:t>
      </w:r>
    </w:p>
    <w:p w14:paraId="49056260" w14:textId="77777777" w:rsidR="004A5083" w:rsidRDefault="004A5083" w:rsidP="004A5083">
      <w:pPr>
        <w:spacing w:after="0" w:line="240" w:lineRule="auto"/>
        <w:jc w:val="center"/>
      </w:pPr>
      <w:r>
        <w:rPr>
          <w:noProof/>
        </w:rPr>
        <w:t>Millner, Nivea</w:t>
      </w:r>
    </w:p>
    <w:p w14:paraId="6E9BE1E0" w14:textId="77777777" w:rsidR="004A5083" w:rsidRDefault="004A5083" w:rsidP="004A5083">
      <w:pPr>
        <w:spacing w:after="0" w:line="240" w:lineRule="auto"/>
        <w:jc w:val="center"/>
      </w:pPr>
      <w:r>
        <w:rPr>
          <w:noProof/>
        </w:rPr>
        <w:t>Elon University</w:t>
      </w:r>
    </w:p>
    <w:p w14:paraId="6D3548E1" w14:textId="77777777" w:rsidR="004A5083" w:rsidRDefault="004A5083" w:rsidP="004A5083">
      <w:pPr>
        <w:spacing w:after="0" w:line="240" w:lineRule="auto"/>
        <w:jc w:val="center"/>
      </w:pPr>
    </w:p>
    <w:p w14:paraId="3039DF58" w14:textId="77777777" w:rsidR="004A5083" w:rsidRDefault="004A5083" w:rsidP="004A5083">
      <w:pPr>
        <w:spacing w:after="0" w:line="240" w:lineRule="auto"/>
      </w:pPr>
      <w:r>
        <w:rPr>
          <w:noProof/>
        </w:rPr>
        <w:t>Conservation biology strives to spread environmental awareness and protection efforts. To do so adequately, conservation research must be communicated beyond the scientific community, as its implications extend to society at large. Primary research articles are not only challenging to find and difficult for the public to accurately interpret, but are also frequently inaccessible behind a paywall. Open access articles may serve as a bridge between scientific research and the general public. Yet, depending on the discipline, the percentage of open access articles varies drastically, most notably in fields such as conservation biology, which holds great direct significance for the public, has less than 5% open access rate. In addition, open access articles alone do not address the lexical complexity within these research articles. Therefore, visual abstracts can be included to increase engagement and comprehension, thereby reducing the communication gap and allowing for better interpretations of scientific research and public perception of science. This research seeks to review and meta-analyze existent research as it pertains to both the prevalence and effectiveness of open access practices and audiovisual formats of communication and offer guidelines for their implementation in conservation biology. By using conservation biology as a framework, we argue that open access and visual abstracts can fortify the bridge between scientists and the public, supporting understanding, awareness, and engagement for the discipline.</w:t>
      </w:r>
    </w:p>
    <w:p w14:paraId="3739F355" w14:textId="06FD3F9D" w:rsidR="004A5083" w:rsidRPr="009037F7" w:rsidRDefault="009037F7" w:rsidP="009037F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538DED8"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8</w:t>
      </w:r>
    </w:p>
    <w:p w14:paraId="31C9CB94"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Quantifying PCB Contamination in Soil via Soxhlet Extraction and GC-ECD Detection Limit Optimization.</w:t>
      </w:r>
    </w:p>
    <w:p w14:paraId="2593AEB4" w14:textId="77777777" w:rsidR="004A5083" w:rsidRDefault="004A5083" w:rsidP="004A5083">
      <w:pPr>
        <w:spacing w:after="0" w:line="240" w:lineRule="auto"/>
        <w:jc w:val="center"/>
      </w:pPr>
      <w:r>
        <w:rPr>
          <w:noProof/>
        </w:rPr>
        <w:t>Lail, Connor*</w:t>
      </w:r>
    </w:p>
    <w:p w14:paraId="2DA2033D" w14:textId="77777777" w:rsidR="004A5083" w:rsidRDefault="004A5083" w:rsidP="004A5083">
      <w:pPr>
        <w:spacing w:after="0" w:line="240" w:lineRule="auto"/>
        <w:jc w:val="center"/>
      </w:pPr>
      <w:r>
        <w:rPr>
          <w:noProof/>
        </w:rPr>
        <w:t>Lenoir-Rhyne University</w:t>
      </w:r>
    </w:p>
    <w:p w14:paraId="3B62F874" w14:textId="77777777" w:rsidR="004A5083" w:rsidRDefault="004A5083" w:rsidP="004A5083">
      <w:pPr>
        <w:spacing w:after="0" w:line="240" w:lineRule="auto"/>
        <w:jc w:val="center"/>
      </w:pPr>
    </w:p>
    <w:p w14:paraId="5EE243F2" w14:textId="77777777" w:rsidR="004A5083" w:rsidRDefault="004A5083" w:rsidP="004A5083">
      <w:pPr>
        <w:spacing w:after="0" w:line="240" w:lineRule="auto"/>
        <w:rPr>
          <w:noProof/>
        </w:rPr>
      </w:pPr>
      <w:r>
        <w:rPr>
          <w:noProof/>
        </w:rPr>
        <w:t xml:space="preserve">Polychlorinated biphenyls (PCBs) are persistent organic pollutants that were widely used in industrial applications such as paints, electrical equipment, and plasticizers. Due to their </w:t>
      </w:r>
      <w:r>
        <w:rPr>
          <w:noProof/>
        </w:rPr>
        <w:lastRenderedPageBreak/>
        <w:t>toxicity and associated health risks, including cancer and liver damage, their production and use were discontinued in the late 1970s. However, because of their strong chemical stability and resistance to breakdown, PCBs remain present in the environment and can persist in soils, sediments, and water systems for long periods of time. This persistence allows them to accumulate in the food chain, continuing to pose risks to both ecosystems and human health even decades after their ban. PCBs are also commonly classified as “forever chemicals” due to their extreme environmental persistence and inability to readily degrade under natural conditions, leading to long-term contamination concerns.</w:t>
      </w:r>
    </w:p>
    <w:p w14:paraId="29557188" w14:textId="77777777" w:rsidR="004A5083" w:rsidRDefault="004A5083" w:rsidP="004A5083">
      <w:pPr>
        <w:spacing w:after="0" w:line="240" w:lineRule="auto"/>
        <w:rPr>
          <w:noProof/>
        </w:rPr>
      </w:pPr>
      <w:r>
        <w:rPr>
          <w:noProof/>
        </w:rPr>
        <w:t>This study focuses on the extraction and measurement of PCBs in soil samples using Soxhlet extraction followed by gas chromatography with an electron capture detector (GC-ECD). Soxhlet extraction was used as it provides a reliable and well-established method for efficiently isolating PCBs from complex soil matrices. The technique works by continuously cycling solvent through the sample, allowing for thorough extraction of contaminants over time and improving overall recovery of analytes.</w:t>
      </w:r>
    </w:p>
    <w:p w14:paraId="4DF14758" w14:textId="77777777" w:rsidR="004A5083" w:rsidRDefault="004A5083" w:rsidP="004A5083">
      <w:pPr>
        <w:spacing w:after="0" w:line="240" w:lineRule="auto"/>
        <w:rPr>
          <w:noProof/>
        </w:rPr>
      </w:pPr>
      <w:r>
        <w:rPr>
          <w:noProof/>
        </w:rPr>
        <w:t>After extraction, the samples were analyzed using GC-ECD. The electron capture detector is highly sensitive to compounds containing electronegative elements such as chlorine, making it particularly suitable for PCB analysis. This high sensitivity allows for the detection of PCBs at low concentrations, which is essential for environmental monitoring where contamination may be present at trace levels.</w:t>
      </w:r>
    </w:p>
    <w:p w14:paraId="3C4AEC1C" w14:textId="77777777" w:rsidR="004A5083" w:rsidRDefault="004A5083" w:rsidP="004A5083">
      <w:pPr>
        <w:spacing w:after="0" w:line="240" w:lineRule="auto"/>
      </w:pPr>
      <w:r>
        <w:rPr>
          <w:noProof/>
        </w:rPr>
        <w:t>Currently, PCB standards at a concentration of 0.01 µg/mL have been analyzed and have produced clear, quantifiable peaks. These results demonstrate that the method is capable of reliably detecting PCBs at low concentrations and producing consistent chromatographic responses. This indicates good sensitivity and suitability for further application to real environmental soil samples.</w:t>
      </w:r>
    </w:p>
    <w:p w14:paraId="2150D2A7" w14:textId="7B1FAFD2" w:rsidR="004A5083" w:rsidRPr="009037F7" w:rsidRDefault="009037F7" w:rsidP="009037F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4AE1A66"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9</w:t>
      </w:r>
    </w:p>
    <w:p w14:paraId="16378AB5"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Unraveling the Microbial Potential of Regenerative Agriculture: A Comparative Study Between Farming Techniques</w:t>
      </w:r>
    </w:p>
    <w:p w14:paraId="6BD0F873" w14:textId="77777777" w:rsidR="004A5083" w:rsidRDefault="004A5083" w:rsidP="004A5083">
      <w:pPr>
        <w:spacing w:after="0" w:line="240" w:lineRule="auto"/>
        <w:jc w:val="center"/>
      </w:pPr>
      <w:r>
        <w:rPr>
          <w:noProof/>
        </w:rPr>
        <w:t>Bohlen, Samuel*, Gabriel Wallmann, Hunter Pope, Dr. Michelle Suhan Thomas</w:t>
      </w:r>
    </w:p>
    <w:p w14:paraId="4AD8448B" w14:textId="77777777" w:rsidR="004A5083" w:rsidRDefault="004A5083" w:rsidP="004A5083">
      <w:pPr>
        <w:spacing w:after="0" w:line="240" w:lineRule="auto"/>
        <w:jc w:val="center"/>
      </w:pPr>
      <w:r>
        <w:rPr>
          <w:noProof/>
        </w:rPr>
        <w:t>Campbell University</w:t>
      </w:r>
    </w:p>
    <w:p w14:paraId="65CA7092" w14:textId="77777777" w:rsidR="004A5083" w:rsidRDefault="004A5083" w:rsidP="004A5083">
      <w:pPr>
        <w:spacing w:after="0" w:line="240" w:lineRule="auto"/>
        <w:jc w:val="center"/>
      </w:pPr>
    </w:p>
    <w:p w14:paraId="224D7658" w14:textId="77777777" w:rsidR="004A5083" w:rsidRDefault="004A5083" w:rsidP="004A5083">
      <w:pPr>
        <w:spacing w:after="0" w:line="240" w:lineRule="auto"/>
      </w:pPr>
      <w:r>
        <w:rPr>
          <w:noProof/>
        </w:rPr>
        <w:t xml:space="preserve">Regenerative Agriculture (RA) has gained national attention as a farming approach aimed at restoring ecological function and improving soil quality. In the soil ecosystem, microbes are a key component shown to play a critical role in improving nutrient cycling and overall ecosystem stability. While RA has grown in population, limited research has explored how these practices alter soil microbial communities and their antimicrobial potential. Soil samples were collected from 4 farming sites with differing farming approaches at a depth of 4 and 12 inches. Colony-forming units (CFU) were counted following serial dilution and spread plating. Colonies were selected from spread plates and screened for antibiotic production against near-relatives of ESKAPE pathogens. Bacterial strains showing production against 6+ of the ESKPAE strains were identified using polymerase chain reaction and sanger sequencing. Biolog Gen III plates were then utilized to characterize Phenotypic profile of these isolates. Regenerative agriculture practices resulted in a 50% </w:t>
      </w:r>
      <w:r>
        <w:rPr>
          <w:noProof/>
        </w:rPr>
        <w:lastRenderedPageBreak/>
        <w:t>increase in antibiotic producing isolates, with two Gram-negative and two Gram-positive bacilli or coccobacilli shown across all sample locations. Two Pseudomonas and two Bacillus species were identified. Phenotypically, Pseudomonas species utilized a range of Organic acids whereas the Bacillus primarily utilized Carbohydrate sources. Overall, the results indicated a positive association between RA practices, increased soil microbial counts, and enhanced antimicrobial activity, supporting the common perception that RA promotes a holistic benefit to the ecosystem.</w:t>
      </w:r>
    </w:p>
    <w:p w14:paraId="10C1D7A0" w14:textId="17D730E6" w:rsidR="004A5083" w:rsidRPr="009037F7" w:rsidRDefault="009037F7" w:rsidP="009037F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779DDCD"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10</w:t>
      </w:r>
    </w:p>
    <w:p w14:paraId="193F0905"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 xml:space="preserve">The Effects of </w:t>
      </w:r>
      <w:r w:rsidRPr="003660F9">
        <w:rPr>
          <w:rFonts w:ascii="Calibri" w:hAnsi="Calibri" w:cs="Calibri"/>
          <w:b/>
          <w:bCs/>
          <w:i/>
          <w:iCs/>
          <w:noProof/>
          <w:sz w:val="28"/>
          <w:szCs w:val="28"/>
        </w:rPr>
        <w:t>Rhizophagus irregularis</w:t>
      </w:r>
      <w:r w:rsidRPr="0092723F">
        <w:rPr>
          <w:rFonts w:ascii="Calibri" w:hAnsi="Calibri" w:cs="Calibri"/>
          <w:b/>
          <w:bCs/>
          <w:noProof/>
          <w:sz w:val="28"/>
          <w:szCs w:val="28"/>
        </w:rPr>
        <w:t xml:space="preserve"> co-culture with Cotton (Gossypium hirsutum) on resistance to cadmium chloride in soil</w:t>
      </w:r>
    </w:p>
    <w:p w14:paraId="2249CEEC" w14:textId="77777777" w:rsidR="004A5083" w:rsidRDefault="004A5083" w:rsidP="004A5083">
      <w:pPr>
        <w:spacing w:after="0" w:line="240" w:lineRule="auto"/>
        <w:jc w:val="center"/>
      </w:pPr>
      <w:r>
        <w:rPr>
          <w:noProof/>
        </w:rPr>
        <w:t>Short, Homer Drexel*, Michael R. Stiff.</w:t>
      </w:r>
    </w:p>
    <w:p w14:paraId="0493FFDE" w14:textId="77777777" w:rsidR="004A5083" w:rsidRDefault="004A5083" w:rsidP="004A5083">
      <w:pPr>
        <w:spacing w:after="0" w:line="240" w:lineRule="auto"/>
        <w:jc w:val="center"/>
      </w:pPr>
      <w:r>
        <w:rPr>
          <w:noProof/>
        </w:rPr>
        <w:t>Lenoir-Rhyne University</w:t>
      </w:r>
    </w:p>
    <w:p w14:paraId="3CCB89BE" w14:textId="77777777" w:rsidR="004A5083" w:rsidRDefault="004A5083" w:rsidP="004A5083">
      <w:pPr>
        <w:spacing w:after="0" w:line="240" w:lineRule="auto"/>
        <w:jc w:val="center"/>
      </w:pPr>
    </w:p>
    <w:p w14:paraId="67700A4C" w14:textId="77777777" w:rsidR="004A5083" w:rsidRDefault="004A5083" w:rsidP="004A5083">
      <w:pPr>
        <w:spacing w:after="0" w:line="240" w:lineRule="auto"/>
      </w:pPr>
      <w:r>
        <w:rPr>
          <w:noProof/>
        </w:rPr>
        <w:t>Heavy metal contamination of soil is an increasingly pressing issue because these metals can harm living systems. Sources of heavy metals, like cadmium, in soil include mining, refining, smelting, other industrial runoff, agricultural pesticides and fertilizers. Cotton (Gossypium hirsutum) is one of the most important renewable textile crops in the world, and it can be used as a potential natural, cheap, and effective source of phytoremediation, while producing usable textiles. Although cotton is naturally resistant to soil cadmium, research has not gone into methods to further improve cotton’s resistance and ability to remove metals from soil. Cotton forms beneficial relationships with arbuscular mycorrhizal fungi (AMF). The objective of this study is to examine the interactions between the AMF Rhizophagus irregularis to improve cotton’s resistance to cadmium poisoning. G. hirsutum cv. Phytogen 210 was grown in cadmium soil (0 through 30 mg/kg) either with or without Rh. irregularis for four weeks. Increasing concentrations of cadmium did not alter stem length after 27 days of growth in either AMF-inoculated or noninoculated cotton plants. Although the difference was not statistically significant, stem length of AMF-inoculated and cotton plants was apparently shorter than noninoculated plants at 0, 0.5, 5.0, 10.0, and 20.0 mg/kg cadmium. The 1.0 mg/kg treatment was the only concentration to show no apparent difference in stem length. This recurring difference suggests an interaction between AMF and cotton during this growth period that merits further investigation.  These data aim to clarify a supporting relationship between AMF and cotton that may provide opportunity for cotton cultivation in damaged soils.</w:t>
      </w:r>
    </w:p>
    <w:p w14:paraId="5048025D" w14:textId="2109CC87" w:rsidR="004A5083" w:rsidRDefault="009037F7" w:rsidP="00011192">
      <w:pPr>
        <w:jc w:val="center"/>
      </w:pPr>
      <w:hyperlink w:anchor="TableofContents" w:history="1">
        <w:r w:rsidRPr="45BF4E85">
          <w:rPr>
            <w:rStyle w:val="Hyperlink"/>
            <w:rFonts w:ascii="Calibri" w:hAnsi="Calibri" w:cs="Calibri"/>
            <w:b/>
            <w:bCs/>
            <w:kern w:val="0"/>
            <w:sz w:val="22"/>
            <w:szCs w:val="22"/>
          </w:rPr>
          <w:t>Return to Table of Contents</w:t>
        </w:r>
      </w:hyperlink>
    </w:p>
    <w:p w14:paraId="0343D465" w14:textId="77777777" w:rsidR="004C166D" w:rsidRDefault="004C166D" w:rsidP="00011192">
      <w:pPr>
        <w:jc w:val="center"/>
      </w:pPr>
    </w:p>
    <w:p w14:paraId="6826595C" w14:textId="77777777" w:rsidR="004C166D" w:rsidRDefault="004C166D" w:rsidP="00011192">
      <w:pPr>
        <w:jc w:val="center"/>
      </w:pPr>
    </w:p>
    <w:p w14:paraId="66FD3A88" w14:textId="77777777" w:rsidR="004C166D" w:rsidRDefault="004C166D" w:rsidP="00011192">
      <w:pPr>
        <w:jc w:val="center"/>
      </w:pPr>
    </w:p>
    <w:p w14:paraId="004F24DC" w14:textId="77777777" w:rsidR="004C166D" w:rsidRPr="00011192" w:rsidRDefault="004C166D" w:rsidP="00011192">
      <w:pPr>
        <w:jc w:val="center"/>
        <w:rPr>
          <w:rFonts w:ascii="Calibri" w:hAnsi="Calibri" w:cs="Calibri"/>
          <w:b/>
          <w:bCs/>
          <w:color w:val="000000"/>
          <w:kern w:val="0"/>
          <w:sz w:val="22"/>
          <w:szCs w:val="22"/>
        </w:rPr>
      </w:pPr>
    </w:p>
    <w:p w14:paraId="758F942E" w14:textId="77777777" w:rsidR="004A5083" w:rsidRPr="00971952" w:rsidRDefault="004A5083" w:rsidP="004A5083">
      <w:pPr>
        <w:spacing w:after="0"/>
        <w:jc w:val="center"/>
        <w:rPr>
          <w:b/>
          <w:bCs/>
          <w:sz w:val="26"/>
          <w:szCs w:val="26"/>
        </w:rPr>
      </w:pPr>
      <w:r w:rsidRPr="00971952">
        <w:rPr>
          <w:b/>
          <w:bCs/>
          <w:sz w:val="26"/>
          <w:szCs w:val="26"/>
        </w:rPr>
        <w:lastRenderedPageBreak/>
        <w:t xml:space="preserve">Oral Presentation Abstract </w:t>
      </w:r>
      <w:r w:rsidRPr="0092723F">
        <w:rPr>
          <w:b/>
          <w:bCs/>
          <w:noProof/>
          <w:sz w:val="26"/>
          <w:szCs w:val="26"/>
        </w:rPr>
        <w:t>11</w:t>
      </w:r>
    </w:p>
    <w:p w14:paraId="2034A638"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Comparison and analysis of chemical stability of name brand and generic non-opioid analgesics</w:t>
      </w:r>
    </w:p>
    <w:p w14:paraId="1ED96F6A" w14:textId="77777777" w:rsidR="004A5083" w:rsidRDefault="004A5083" w:rsidP="004A5083">
      <w:pPr>
        <w:spacing w:after="0" w:line="240" w:lineRule="auto"/>
        <w:jc w:val="center"/>
      </w:pPr>
      <w:r>
        <w:rPr>
          <w:noProof/>
        </w:rPr>
        <w:t>Bedward Cem*, Andrew Steele.</w:t>
      </w:r>
    </w:p>
    <w:p w14:paraId="1693EA69" w14:textId="77777777" w:rsidR="004A5083" w:rsidRDefault="004A5083" w:rsidP="004A5083">
      <w:pPr>
        <w:spacing w:after="0" w:line="240" w:lineRule="auto"/>
        <w:jc w:val="center"/>
      </w:pPr>
      <w:r>
        <w:rPr>
          <w:noProof/>
        </w:rPr>
        <w:t>Lenoir Rhyne University</w:t>
      </w:r>
    </w:p>
    <w:p w14:paraId="43947AC3" w14:textId="77777777" w:rsidR="004A5083" w:rsidRDefault="004A5083" w:rsidP="004A5083">
      <w:pPr>
        <w:spacing w:after="0" w:line="240" w:lineRule="auto"/>
        <w:jc w:val="center"/>
      </w:pPr>
    </w:p>
    <w:p w14:paraId="1A42ADAD" w14:textId="32B75789" w:rsidR="004A5083" w:rsidRDefault="004A5083" w:rsidP="004A5083">
      <w:pPr>
        <w:spacing w:after="0" w:line="240" w:lineRule="auto"/>
      </w:pPr>
      <w:r>
        <w:rPr>
          <w:noProof/>
        </w:rPr>
        <w:t>Understanding the chemical stability of pharmaceuticals in varying storage conditions is critical to maintaining their therapeutic efficacy. One of the most widely used pharmaceuticals are non-opioid analgesics. These analgesics are commonly formulated as a combination of aspirin, acetaminophen, and caffeine, and produced by various manufacturers, with differing excipient compositions. After production, tablets are frequently subjected to less-than-ideal conditions in transportation and storage, raising a need to further understand whether stability is maintained during this period. The purpose of this study is to quantitatively investigate and compare the chemical stability of various manufacturers’ analgesic products – specifically, Excedrin®, Rite Aid®, and Food Lion’s Care One™ (EX, RA, FL) – in various stress conditions, such as hydrolytic, oxidative, and thermal. Samples were subjected to controlled degradation, quenched, then tested with high perfoance liquid chromatography. Results indicate that Excedrin®’s aspirin degrades at a significantly slower rate in base-catalyzed ester hydrolysis (EX, RA, FL k = 0.383 1/s, 0.7752 1/s, 0.6287 1/s). In addition, no significant degradation of APIs occurred in acid-catalyzed hydrolysis (k ~ 0 1/s). Finally, oxidative conditions yielded significant degradation across all brands. These results indicate that Excedrin® has the greatest chemical stability of the products tested as it has the lowest degradation rate. These results also indicate that variations in excipient composition significantly influence chemical stability of active pharmaceutical ingredients. This research is vital for both household and clinical settings, as insight into optimal storage conditions and excipient formulations is essential for maintaining therapeutic efficacy and safety. Additional steps for research include identifying specific mechanistic patterns regarding excipient and API interactions in various conditions.</w:t>
      </w:r>
    </w:p>
    <w:p w14:paraId="0B0D8B89" w14:textId="4D3DD2DB" w:rsidR="004A5083" w:rsidRPr="00011192" w:rsidRDefault="00011192" w:rsidP="00011192">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21AEB766"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12</w:t>
      </w:r>
    </w:p>
    <w:p w14:paraId="46BE9979"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Inhibition of thermal oxidation of oleic acid to prevent hemagglutination</w:t>
      </w:r>
    </w:p>
    <w:p w14:paraId="1912937F" w14:textId="77777777" w:rsidR="004A5083" w:rsidRDefault="004A5083" w:rsidP="004A5083">
      <w:pPr>
        <w:spacing w:after="0" w:line="240" w:lineRule="auto"/>
        <w:jc w:val="center"/>
      </w:pPr>
      <w:r>
        <w:rPr>
          <w:noProof/>
        </w:rPr>
        <w:t>Silverman, Landon and Darryl Bing, Ph.D.</w:t>
      </w:r>
    </w:p>
    <w:p w14:paraId="78B12F1F" w14:textId="77777777" w:rsidR="004A5083" w:rsidRDefault="004A5083" w:rsidP="004A5083">
      <w:pPr>
        <w:spacing w:after="0" w:line="240" w:lineRule="auto"/>
        <w:jc w:val="center"/>
      </w:pPr>
      <w:r>
        <w:rPr>
          <w:noProof/>
        </w:rPr>
        <w:t>Durham Technical Community College</w:t>
      </w:r>
    </w:p>
    <w:p w14:paraId="4069BD1C" w14:textId="77777777" w:rsidR="004A5083" w:rsidRDefault="004A5083" w:rsidP="004A5083">
      <w:pPr>
        <w:spacing w:after="0" w:line="240" w:lineRule="auto"/>
        <w:jc w:val="center"/>
      </w:pPr>
    </w:p>
    <w:p w14:paraId="3388B6F6" w14:textId="77777777" w:rsidR="004A5083" w:rsidRDefault="004A5083" w:rsidP="004A5083">
      <w:pPr>
        <w:spacing w:after="0" w:line="240" w:lineRule="auto"/>
        <w:rPr>
          <w:noProof/>
        </w:rPr>
      </w:pPr>
      <w:r>
        <w:rPr>
          <w:noProof/>
        </w:rPr>
        <w:t xml:space="preserve">Hemagglutination is the clumping of red blood cells (RBCs) typically caused by viruses, bacteria, or antibodies binding to cell surface antigens, creating a visible lattice structure. Hemagglutination assays are used to detect viruses (e.g., influenza) and determine blood types. The assays are sensitive, fast and economical. Previous work in this lab focused on chemically induced hemagglutination by thermally oxidized fatty acids. </w:t>
      </w:r>
    </w:p>
    <w:p w14:paraId="1EDFC267" w14:textId="0C926FFC" w:rsidR="004A5083" w:rsidRDefault="004A5083" w:rsidP="004A5083">
      <w:pPr>
        <w:spacing w:after="0" w:line="240" w:lineRule="auto"/>
        <w:rPr>
          <w:noProof/>
        </w:rPr>
      </w:pPr>
      <w:r>
        <w:rPr>
          <w:noProof/>
        </w:rPr>
        <w:t xml:space="preserve">Oleic acid is an omega-9 monounsaturated fatty acid and it is the most common monounsaturated fatty acid in the human diet. It supports healthy cholesterol levels by </w:t>
      </w:r>
      <w:r>
        <w:rPr>
          <w:noProof/>
        </w:rPr>
        <w:lastRenderedPageBreak/>
        <w:t xml:space="preserve">lowering LDL (bad) cholesterol when replacing saturated fats. However, despite its many claims for improving digestive health, oleic acid is also a potent chemical agglutinating agent r mammalian erythrocytes. When heated aerobically for short periods of time, oleic acid undergoes thermal oxidation. In its oxidized form, it induces hemagglutination.  </w:t>
      </w:r>
    </w:p>
    <w:p w14:paraId="0931A464" w14:textId="77777777" w:rsidR="004A5083" w:rsidRDefault="004A5083" w:rsidP="004A5083">
      <w:pPr>
        <w:spacing w:after="0" w:line="240" w:lineRule="auto"/>
        <w:rPr>
          <w:noProof/>
        </w:rPr>
      </w:pPr>
      <w:r>
        <w:rPr>
          <w:noProof/>
        </w:rPr>
        <w:t>Oxidized oleic acid is typically found in rancid cooking oils, and it can contribute to significant nutritional and health issues. In addition to hemagglutination, oxidized oleic acid is responsible for dietary oxidative stress, inflammation and nutrient degradation.</w:t>
      </w:r>
    </w:p>
    <w:p w14:paraId="507C41EE" w14:textId="77777777" w:rsidR="004A5083" w:rsidRDefault="004A5083" w:rsidP="004A5083">
      <w:pPr>
        <w:spacing w:after="0" w:line="240" w:lineRule="auto"/>
      </w:pPr>
      <w:r>
        <w:rPr>
          <w:noProof/>
        </w:rPr>
        <w:t>The focus of this research is to reduce the oxidative stress caused by oleic acid. This lab’s hypothesis is that oxidative stress is causing morphological changes to the plasma membrane of red blood cells, with the end result being agglutination. The objective is heat oleic acid in the presence of known antioxidants – both individually and in combination. Based on previous observations, a reduction in thermal oxidation should correlate with reduced hemagglutination. Titers – i.e.) the lowest concentration of oleic acid capable of inducing agglutination will be measured in both the presence and absence of antioxidants.</w:t>
      </w:r>
    </w:p>
    <w:p w14:paraId="17285BB1" w14:textId="77777777" w:rsidR="00011192" w:rsidRPr="00B051AC" w:rsidRDefault="00011192" w:rsidP="00011192">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D46885A"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13</w:t>
      </w:r>
    </w:p>
    <w:p w14:paraId="35E9A98E"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Determination of retinol concentration in various skin care products using HPLC</w:t>
      </w:r>
    </w:p>
    <w:p w14:paraId="601A83A7" w14:textId="77777777" w:rsidR="004A5083" w:rsidRDefault="004A5083" w:rsidP="004A5083">
      <w:pPr>
        <w:spacing w:after="0" w:line="240" w:lineRule="auto"/>
        <w:jc w:val="center"/>
      </w:pPr>
      <w:r>
        <w:rPr>
          <w:noProof/>
        </w:rPr>
        <w:t>AbdelAziz, Raneen*</w:t>
      </w:r>
    </w:p>
    <w:p w14:paraId="74397A0D" w14:textId="77777777" w:rsidR="004A5083" w:rsidRDefault="004A5083" w:rsidP="004A5083">
      <w:pPr>
        <w:spacing w:after="0" w:line="240" w:lineRule="auto"/>
        <w:jc w:val="center"/>
      </w:pPr>
      <w:r>
        <w:rPr>
          <w:noProof/>
        </w:rPr>
        <w:t>Wingate University</w:t>
      </w:r>
    </w:p>
    <w:p w14:paraId="5C0C4380" w14:textId="77777777" w:rsidR="004A5083" w:rsidRDefault="004A5083" w:rsidP="004A5083">
      <w:pPr>
        <w:spacing w:after="0" w:line="240" w:lineRule="auto"/>
        <w:jc w:val="center"/>
      </w:pPr>
    </w:p>
    <w:p w14:paraId="5D866C3A" w14:textId="77777777" w:rsidR="004A5083" w:rsidRDefault="004A5083" w:rsidP="004A5083">
      <w:pPr>
        <w:spacing w:after="0" w:line="240" w:lineRule="auto"/>
      </w:pPr>
      <w:r>
        <w:rPr>
          <w:noProof/>
        </w:rPr>
        <w:t>Retinol, a Vitamin A derivative, is a popular additive in facial creams due to its anti-aging and acne-fighting properties.  Facial creams, serums, ointments, and lotions are available in different concentrations of retinol including over-the-counter and prescription strength options.  Although retinol can be beneficial, retinol causes skin to be more susceptible to sun damage and can worsen skin conditions like rosacea, eczema and sensitive skin.  Many skin care products list the concentration of retinol present but many do not.  This research focuses on the extraction of retinol in various facial creams and serums and the determination of the concentration using HPLC and a calibration curve.  A traditional solvent extraction will be used along with QuEChERS when necessary.  The values obtained will be compared to concentrations listed on analyzed skin care products if given.</w:t>
      </w:r>
    </w:p>
    <w:p w14:paraId="08F2C809" w14:textId="01D49E3E" w:rsidR="004A5083" w:rsidRPr="00C13D2E" w:rsidRDefault="00C13D2E" w:rsidP="00C13D2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4F0C860"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14</w:t>
      </w:r>
    </w:p>
    <w:p w14:paraId="0443F32E"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Multimodal Communication and Assessment in Male-Male Interactions by Red-headed Meadow Katydids (</w:t>
      </w:r>
      <w:r w:rsidRPr="004A48C1">
        <w:rPr>
          <w:rFonts w:ascii="Calibri" w:hAnsi="Calibri" w:cs="Calibri"/>
          <w:b/>
          <w:bCs/>
          <w:i/>
          <w:iCs/>
          <w:noProof/>
          <w:sz w:val="28"/>
          <w:szCs w:val="28"/>
        </w:rPr>
        <w:t>Orchelimum erythrocephalum</w:t>
      </w:r>
      <w:r w:rsidRPr="0092723F">
        <w:rPr>
          <w:rFonts w:ascii="Calibri" w:hAnsi="Calibri" w:cs="Calibri"/>
          <w:b/>
          <w:bCs/>
          <w:noProof/>
          <w:sz w:val="28"/>
          <w:szCs w:val="28"/>
        </w:rPr>
        <w:t>)</w:t>
      </w:r>
    </w:p>
    <w:p w14:paraId="3DD4D931" w14:textId="77777777" w:rsidR="004A5083" w:rsidRDefault="004A5083" w:rsidP="004A5083">
      <w:pPr>
        <w:spacing w:after="0" w:line="240" w:lineRule="auto"/>
        <w:jc w:val="center"/>
      </w:pPr>
      <w:r>
        <w:rPr>
          <w:noProof/>
        </w:rPr>
        <w:t>Moriel-Kirshner, Ben, Jennifer Hamel</w:t>
      </w:r>
    </w:p>
    <w:p w14:paraId="299D1075" w14:textId="77777777" w:rsidR="004A5083" w:rsidRDefault="004A5083" w:rsidP="004A5083">
      <w:pPr>
        <w:spacing w:after="0" w:line="240" w:lineRule="auto"/>
        <w:jc w:val="center"/>
      </w:pPr>
      <w:r>
        <w:rPr>
          <w:noProof/>
        </w:rPr>
        <w:t>Elon University</w:t>
      </w:r>
    </w:p>
    <w:p w14:paraId="098D2250" w14:textId="77777777" w:rsidR="004A5083" w:rsidRDefault="004A5083" w:rsidP="004A5083">
      <w:pPr>
        <w:spacing w:after="0" w:line="240" w:lineRule="auto"/>
        <w:jc w:val="center"/>
      </w:pPr>
    </w:p>
    <w:p w14:paraId="066A0752" w14:textId="77777777" w:rsidR="004A5083" w:rsidRDefault="004A5083" w:rsidP="004A5083">
      <w:pPr>
        <w:spacing w:after="0" w:line="240" w:lineRule="auto"/>
      </w:pPr>
      <w:r>
        <w:rPr>
          <w:noProof/>
        </w:rPr>
        <w:t xml:space="preserve">Animals communicate about their survival and reproduction, often using more than one signal modality (e.g., sound, vibration). In territorial species, males sometimes engage in physical contests that can result in mating opportunities, but also injury. Males may signal before and during such contests, and males may be able to assess a rival’s ability to defend resources (“resource-holding potential” or RHP) through signals. Few studies have </w:t>
      </w:r>
      <w:r>
        <w:rPr>
          <w:noProof/>
        </w:rPr>
        <w:lastRenderedPageBreak/>
        <w:t>examined the use of multiple signal modalities in this context. Here, we evaluated the use of sound (calls) and substrate-borne vibrations (tremulations) by territorial male red-headed meadow katydids (Orthoptera: Tettigoniidae: Orchelimum erythrocephalum) during male-male interactions. We predicted that males would obtain information on rival RHP from calls and tremulations. We staged male-male interactions in a laboratory arena and recorded video, audio, and substrate-borne vibrations. We introduced each of 18 focal males onto a potted plant and then added a second, non-focal male. Body mass is often used as a proxy for RHP in insects, so we therefore weighed each male. We scored behavioral sequences and calculated time budgets from videos using BORIS software. We characterized calls and tremulations from audio files using RavenPro software. Males escalated to physical contests in one third of trials. Calling occurred during 17/18 trials (33 of 36 males called). Tremulations occurred during 15 trials (26 of 36 males tremulated). In ten trials, both males engaged in tremulating duets, and five of the seven incidences of grappling behavior followed tremulation duets. Associations between signal parameters, body mass, and contest outcomes will be discussed. Our findings suggest that calls and tremulations are used by males of this species in a graded fashion.</w:t>
      </w:r>
    </w:p>
    <w:p w14:paraId="7D91057C" w14:textId="77777777" w:rsidR="00C13D2E" w:rsidRPr="00C13D2E" w:rsidRDefault="00C13D2E" w:rsidP="00C13D2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200EBEE"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14</w:t>
      </w:r>
    </w:p>
    <w:p w14:paraId="6867C793"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Development of a Novel Diels-Alder Reaction</w:t>
      </w:r>
    </w:p>
    <w:p w14:paraId="7060427E" w14:textId="77777777" w:rsidR="004A5083" w:rsidRDefault="004A5083" w:rsidP="004A5083">
      <w:pPr>
        <w:spacing w:after="0" w:line="240" w:lineRule="auto"/>
        <w:jc w:val="center"/>
      </w:pPr>
      <w:r>
        <w:rPr>
          <w:noProof/>
        </w:rPr>
        <w:t>Trivett, Laura P*, Blue, Elizabeth D</w:t>
      </w:r>
    </w:p>
    <w:p w14:paraId="37E3D1C9" w14:textId="77777777" w:rsidR="004A5083" w:rsidRDefault="004A5083" w:rsidP="004A5083">
      <w:pPr>
        <w:spacing w:after="0" w:line="240" w:lineRule="auto"/>
        <w:jc w:val="center"/>
      </w:pPr>
      <w:r>
        <w:rPr>
          <w:noProof/>
        </w:rPr>
        <w:t>Department of Chemistry &amp; Physics, Campbell University</w:t>
      </w:r>
    </w:p>
    <w:p w14:paraId="39F3E928" w14:textId="77777777" w:rsidR="004A5083" w:rsidRDefault="004A5083" w:rsidP="004A5083">
      <w:pPr>
        <w:spacing w:after="0" w:line="240" w:lineRule="auto"/>
        <w:jc w:val="center"/>
      </w:pPr>
    </w:p>
    <w:p w14:paraId="5D4474E7" w14:textId="77777777" w:rsidR="004A5083" w:rsidRDefault="004A5083" w:rsidP="004A5083">
      <w:pPr>
        <w:spacing w:after="0" w:line="240" w:lineRule="auto"/>
        <w:rPr>
          <w:noProof/>
        </w:rPr>
      </w:pPr>
      <w:r>
        <w:rPr>
          <w:noProof/>
        </w:rPr>
        <w:t>Diels-Alder reactions are notable for their 100% atom economy, rapid reaction rates, and ability to form complex pericyclic structures. Despite their importance in organic chemistry, these reactions can be a safety concern in undergraduate labs because many traditional dienes and dienophiles are not shelf-stable or present handling concerns. This work aims to develop a Diels-Alder experiment that is safe, environmentally low-impact, and suitable for implementation in an undergraduate Organic II teaching laboratory while still maintaining sufficient electronic contrast between the diene and dienophile for successful cycloaddition.</w:t>
      </w:r>
    </w:p>
    <w:p w14:paraId="2645A5CD" w14:textId="77777777" w:rsidR="004A5083" w:rsidRDefault="004A5083" w:rsidP="004A5083">
      <w:pPr>
        <w:spacing w:after="0" w:line="240" w:lineRule="auto"/>
        <w:rPr>
          <w:noProof/>
        </w:rPr>
      </w:pPr>
      <w:r>
        <w:rPr>
          <w:noProof/>
        </w:rPr>
        <w:t>This project focuses on the reaction optimization and analysis of a Diels-Alder reaction between (E,E)-2,4-hexadien-1-ol and N-methylmaleimide. The reaction proceeds through an initial cycloaddition followed by secondary ester formation, which provides a useful analytical feature because the ester carbonyl produces a characteristic infrared spectral peak.</w:t>
      </w:r>
    </w:p>
    <w:p w14:paraId="58F661D1" w14:textId="77777777" w:rsidR="004A5083" w:rsidRDefault="004A5083" w:rsidP="004A5083">
      <w:pPr>
        <w:spacing w:after="0" w:line="240" w:lineRule="auto"/>
        <w:rPr>
          <w:noProof/>
        </w:rPr>
      </w:pPr>
      <w:r>
        <w:rPr>
          <w:noProof/>
        </w:rPr>
        <w:t>Reactions were performed to evaluate the effect of reaction conditions such as heating method, solvent, workup, and potential catalysts. Among the conditions tested, ethyl acetate as the reaction solvent with direct solvent removal produced the most consistent and isolable product.</w:t>
      </w:r>
    </w:p>
    <w:p w14:paraId="7F137F8A" w14:textId="77777777" w:rsidR="004A5083" w:rsidRDefault="004A5083" w:rsidP="004A5083">
      <w:pPr>
        <w:spacing w:after="0" w:line="240" w:lineRule="auto"/>
      </w:pPr>
      <w:r>
        <w:rPr>
          <w:noProof/>
        </w:rPr>
        <w:t xml:space="preserve">Products were analyzed using thin-layer chromatography, infrared spectroscopy, melting point determination, and NMR techniques including ¹H, ¹³C, and heteronuclear correlation (HETCOR) spectroscopy. Because of limitations in ¹H NMR resolution from the 60 MHz instrument, HETCOR spectroscopy was used to improve structural assignments by </w:t>
      </w:r>
      <w:r>
        <w:rPr>
          <w:noProof/>
        </w:rPr>
        <w:lastRenderedPageBreak/>
        <w:t>correlating hydrogen atoms to their attached carbon atoms. The ¹³C NMR spectrum showed that the number of carbon atoms from reactants was preserved in the final product, consistent with the occurrence of a Diels-Alder reaction due to its atom-economical nature.</w:t>
      </w:r>
    </w:p>
    <w:p w14:paraId="7A543EC2" w14:textId="77777777" w:rsidR="00285D93" w:rsidRPr="00C13D2E" w:rsidRDefault="00285D93" w:rsidP="00285D93">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24441AD"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15</w:t>
      </w:r>
    </w:p>
    <w:p w14:paraId="6F9864CF"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Cryopreservation of mouse (</w:t>
      </w:r>
      <w:r w:rsidRPr="004A48C1">
        <w:rPr>
          <w:rFonts w:ascii="Calibri" w:hAnsi="Calibri" w:cs="Calibri"/>
          <w:b/>
          <w:bCs/>
          <w:i/>
          <w:iCs/>
          <w:noProof/>
          <w:sz w:val="28"/>
          <w:szCs w:val="28"/>
        </w:rPr>
        <w:t>Mus musculus</w:t>
      </w:r>
      <w:r w:rsidRPr="0092723F">
        <w:rPr>
          <w:rFonts w:ascii="Calibri" w:hAnsi="Calibri" w:cs="Calibri"/>
          <w:b/>
          <w:bCs/>
          <w:noProof/>
          <w:sz w:val="28"/>
          <w:szCs w:val="28"/>
        </w:rPr>
        <w:t>) embryonic fibroblasts at -80 C</w:t>
      </w:r>
    </w:p>
    <w:p w14:paraId="446046AB" w14:textId="77777777" w:rsidR="004A5083" w:rsidRDefault="004A5083" w:rsidP="004A5083">
      <w:pPr>
        <w:spacing w:after="0" w:line="240" w:lineRule="auto"/>
        <w:jc w:val="center"/>
      </w:pPr>
      <w:r>
        <w:rPr>
          <w:noProof/>
        </w:rPr>
        <w:t>Chatham, Grace*</w:t>
      </w:r>
    </w:p>
    <w:p w14:paraId="3C83F67F" w14:textId="77777777" w:rsidR="004A5083" w:rsidRDefault="004A5083" w:rsidP="004A5083">
      <w:pPr>
        <w:spacing w:after="0" w:line="240" w:lineRule="auto"/>
        <w:jc w:val="center"/>
      </w:pPr>
      <w:r>
        <w:rPr>
          <w:noProof/>
        </w:rPr>
        <w:t>Lenoir-Rhyne University</w:t>
      </w:r>
    </w:p>
    <w:p w14:paraId="2D9440F4" w14:textId="77777777" w:rsidR="004A5083" w:rsidRDefault="004A5083" w:rsidP="004A5083">
      <w:pPr>
        <w:spacing w:after="0" w:line="240" w:lineRule="auto"/>
        <w:jc w:val="center"/>
      </w:pPr>
    </w:p>
    <w:p w14:paraId="2B8C89D0" w14:textId="77777777" w:rsidR="004A5083" w:rsidRDefault="004A5083" w:rsidP="004A5083">
      <w:pPr>
        <w:spacing w:after="0" w:line="240" w:lineRule="auto"/>
      </w:pPr>
      <w:r>
        <w:rPr>
          <w:noProof/>
        </w:rPr>
        <w:t>Cryopreservation of mammalian cells traditionally requires storage in the vapor phase of liquid nitrogen (-196 °C) to maintain long-term viability. However, some smaller institutions lack this freezing option, limiting their ability to conduct cell-based research. The current study investigates whether mouse embryonic fibroblasts (MEFs) can be stored at -80 °C using cryoprotective agents designed to preserve cell viability at temperatures above that of liquid nitrogen. Building on recent advances demonstrating that Ficoll 400 and dimethyl sulfoxide (DMSO) can mitigate ice recrystallization in eukaryotic cells lines and reduce cryoinjury at non-cryogenic storage temperatures, we monitored the viability of MEFs kept at -80 °C in traditional cell-culture media with or without these cryoprotective agents. Mouse embryonic fibroblasts were purchased from ScienCell Laboratories, thawed at 37 °C and immediately distributed into sterile freezing vials containing standard freezing media prepared with: (1) no additives (control cells); (2) DMSO (10% v/v); (3) Ficoll (10% w/v); and (4) DMSO and Ficoll (10% each). The cells were then transferred to the ultra-low freezer where they cooled at a rate of approximately 1 °C per minute until they reached -80 °C. Cell sampling intervals were set at 1, 3, 5, 6 and 7 weeks. Cell viability was assessed at each interval using standard trypan blue exclusion methods. Preliminary data indicate complete loss of viability in untreated control cells and cells treated with DMSO after 3-weeks storage at -80 °C. However, Ficoll-treated cells and cells with Ficoll and DMSO in the freezing medium retained viability at 23.1% and 44.1%, respectively. While these viability rates are well below those of cells stored in liquid nitrogen, our results show promise for finding a combination of cryopreservatives for successful maintenance of eukaryotic cell cultures in the ultra-low freezers already present in many laboratories.</w:t>
      </w:r>
    </w:p>
    <w:p w14:paraId="498FBABE" w14:textId="12B19385" w:rsidR="004A5083" w:rsidRPr="005713FF" w:rsidRDefault="000B43AC" w:rsidP="005713FF">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29FBDE1F"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16</w:t>
      </w:r>
    </w:p>
    <w:p w14:paraId="3E850F99"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Surface Functionalization on Microfluidic Chips for Macrophage–Fibroblast Communication Studies</w:t>
      </w:r>
    </w:p>
    <w:p w14:paraId="11B42D3D" w14:textId="77777777" w:rsidR="004A5083" w:rsidRDefault="004A5083" w:rsidP="004A5083">
      <w:pPr>
        <w:spacing w:after="0" w:line="240" w:lineRule="auto"/>
        <w:jc w:val="center"/>
      </w:pPr>
      <w:r>
        <w:rPr>
          <w:noProof/>
        </w:rPr>
        <w:t>Oreoluwa Alonge*, Harnish Shah, Tolulope Oyeniran, Samuel M.D. Oliveira</w:t>
      </w:r>
    </w:p>
    <w:p w14:paraId="483829AB" w14:textId="77777777" w:rsidR="004A5083" w:rsidRDefault="004A5083" w:rsidP="004A5083">
      <w:pPr>
        <w:spacing w:after="0" w:line="240" w:lineRule="auto"/>
        <w:jc w:val="center"/>
      </w:pPr>
      <w:r>
        <w:rPr>
          <w:noProof/>
        </w:rPr>
        <w:t>Joint School of Nanoscience and Nanoengineering (JSNN), North Carolina Agricultural and Technical State University (NCAT)</w:t>
      </w:r>
    </w:p>
    <w:p w14:paraId="2DA35AEA" w14:textId="77777777" w:rsidR="004A5083" w:rsidRDefault="004A5083" w:rsidP="004A5083">
      <w:pPr>
        <w:spacing w:after="0" w:line="240" w:lineRule="auto"/>
        <w:jc w:val="center"/>
      </w:pPr>
    </w:p>
    <w:p w14:paraId="6EE39C05" w14:textId="77777777" w:rsidR="004A5083" w:rsidRDefault="004A5083" w:rsidP="004A5083">
      <w:pPr>
        <w:spacing w:after="0" w:line="240" w:lineRule="auto"/>
      </w:pPr>
      <w:r>
        <w:rPr>
          <w:noProof/>
        </w:rPr>
        <w:t xml:space="preserve">Normal wound healing involves a coordinated series of biological events, i.e., inflammation, proliferation, and tissue remodeling, that require tightly regulated </w:t>
      </w:r>
      <w:r>
        <w:rPr>
          <w:noProof/>
        </w:rPr>
        <w:lastRenderedPageBreak/>
        <w:t>interactions among multiple cell types, particularly macrophages and fibroblasts. The dynamic crosstalk between these populations is essential for proper healing and restoration of tissue integrity. On the other hand, chronic wounds, a major clinical and socioeconomic burden worldwide, often arise from weakened immune regulation and disrupted cellular communication during the wound-healing process. Studies focused on macrophages and fibroblasts’ communication, however, rely on conventional static culture models that fail to replicate their complex spatial organization, limiting our ability to deeply understand the signaling mechanisms. Microfluidic platforms represent a critical step in bridging this gap. As a foundational step in this transition, this work evaluates cell viability in microfluidic chips with varying surface treatments. Namely, we systematically investigate surface functionalization strategies for reliable cell adhesion in microfluidic devices, comparing three protocols: extracellular matrix (ECM) coating, Polydopamine membrane (PDA) treatment, and APTES salinization. Such strategies leverage the functionality of HeLa cells, Macrophages (RAW 264.7), and fibroblasts (NIH3T3), and compare their viability over days (i.e., downstream on-chip imaging) using Hoechst and Calcein-AM, a multi-dye live/dead staining microscopy assay. We also use non-functionalized chips as controls, standard flask culture for comparisons, and chips with varying volumetric capacity to study the impact of nutrient in-flow during long-term growth at the same external experimental conditions. Surface functionalization with PDA and APTES promoted superior cytocompatibility and sustained cellular proliferation relative to non-functionalized substrates. Next, we will observe the dynamics of macrophage–fibroblast morphological interactions to understand the system's complex cellular crosstalk. We believe this work contributes to the foundational mechanistic knowledge of wound healing and the development of novel therapeutic strategies for chronic wounds and regenerative medicine.</w:t>
      </w:r>
    </w:p>
    <w:p w14:paraId="7E009A20" w14:textId="77777777" w:rsidR="003462E5" w:rsidRPr="00C13D2E" w:rsidRDefault="003462E5" w:rsidP="003462E5">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7375B87"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17</w:t>
      </w:r>
    </w:p>
    <w:p w14:paraId="21BF417B"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LifELONg Lung Health</w:t>
      </w:r>
    </w:p>
    <w:p w14:paraId="413FD3D7" w14:textId="77777777" w:rsidR="004A5083" w:rsidRDefault="004A5083" w:rsidP="004A5083">
      <w:pPr>
        <w:spacing w:after="0" w:line="240" w:lineRule="auto"/>
        <w:jc w:val="center"/>
      </w:pPr>
      <w:r>
        <w:rPr>
          <w:noProof/>
        </w:rPr>
        <w:t>Wright, Emily*, Irizarry, Jackson*, Darfour-Oduro, Sandra</w:t>
      </w:r>
    </w:p>
    <w:p w14:paraId="48AEB5DF" w14:textId="77777777" w:rsidR="004A5083" w:rsidRDefault="004A5083" w:rsidP="004A5083">
      <w:pPr>
        <w:spacing w:after="0" w:line="240" w:lineRule="auto"/>
        <w:jc w:val="center"/>
      </w:pPr>
      <w:r>
        <w:rPr>
          <w:noProof/>
        </w:rPr>
        <w:t>Elon University</w:t>
      </w:r>
    </w:p>
    <w:p w14:paraId="718412E3" w14:textId="77777777" w:rsidR="004A5083" w:rsidRDefault="004A5083" w:rsidP="004A5083">
      <w:pPr>
        <w:spacing w:after="0" w:line="240" w:lineRule="auto"/>
        <w:jc w:val="center"/>
      </w:pPr>
    </w:p>
    <w:p w14:paraId="72D5775D" w14:textId="77777777" w:rsidR="004A5083" w:rsidRDefault="004A5083" w:rsidP="004A5083">
      <w:pPr>
        <w:spacing w:after="0" w:line="240" w:lineRule="auto"/>
        <w:rPr>
          <w:noProof/>
        </w:rPr>
      </w:pPr>
      <w:r>
        <w:rPr>
          <w:noProof/>
        </w:rPr>
        <w:t>Chronic Lung Disease (CLD) ranks in the top five for causes of death, hospital admissions, and chronic health conditions in America. Currently, there are over 15 million Americans diagnosed with CLD, but data suggests that there are still ~15 million undiagnosed cases of CLD. The disease often presents later in life, yet studies show that its roots begin as early as the womb. Once thought of as the ‘smokers’ disease’, research shows prematurity, childhood asthma, work and environmental exposures, and genetics as contributory causes of CLD. The lifetime risk for chronic lung disease such as cardiovascular diseases, cancers, and diabetes has not been well documented in literature and there is limited data on the individual risks for CLD, especially among young people and the benefits of early diagnosis.</w:t>
      </w:r>
    </w:p>
    <w:p w14:paraId="02511004" w14:textId="77777777" w:rsidR="004A5083" w:rsidRDefault="004A5083" w:rsidP="004A5083">
      <w:pPr>
        <w:spacing w:after="0" w:line="240" w:lineRule="auto"/>
      </w:pPr>
      <w:r>
        <w:rPr>
          <w:noProof/>
        </w:rPr>
        <w:t xml:space="preserve">The aim of this study is to identify trends in lung function among undergraduate students at Elon University and to increase awareness of CLD risk early in life. The study consists of </w:t>
      </w:r>
      <w:r>
        <w:rPr>
          <w:noProof/>
        </w:rPr>
        <w:lastRenderedPageBreak/>
        <w:t>two components: a lung health screening and a questionnaire. A total of 285 students will be recruited through convenience sampling. Participants who provide consent will complete a survey collecting sociodemographic information, lifestyle habits, and relevant health history. Following the survey, respiratory therapists will conduct lung function screening using the Vitalograph COPD</w:t>
      </w:r>
      <w:r>
        <w:rPr>
          <w:rFonts w:ascii="Cambria Math" w:hAnsi="Cambria Math" w:cs="Cambria Math"/>
          <w:noProof/>
        </w:rPr>
        <w:t>‑</w:t>
      </w:r>
      <w:r>
        <w:rPr>
          <w:noProof/>
        </w:rPr>
        <w:t>6 handheld spirometer. As part of the LifELONg Lung Health initiative, spirometry data will be analyzed to assess early indicators of impaired lung function in college-aged students. The screening will measure forced expiratory volume in one second (FEV</w:t>
      </w:r>
      <w:r>
        <w:rPr>
          <w:rFonts w:ascii="Aptos" w:hAnsi="Aptos" w:cs="Aptos"/>
          <w:noProof/>
        </w:rPr>
        <w:t>₁</w:t>
      </w:r>
      <w:r>
        <w:rPr>
          <w:noProof/>
        </w:rPr>
        <w:t>), forced expiratory volume in six seconds (FEV</w:t>
      </w:r>
      <w:r>
        <w:rPr>
          <w:rFonts w:ascii="Aptos" w:hAnsi="Aptos" w:cs="Aptos"/>
          <w:noProof/>
        </w:rPr>
        <w:t>₆</w:t>
      </w:r>
      <w:r>
        <w:rPr>
          <w:noProof/>
        </w:rPr>
        <w:t>), and the FEV</w:t>
      </w:r>
      <w:r>
        <w:rPr>
          <w:rFonts w:ascii="Aptos" w:hAnsi="Aptos" w:cs="Aptos"/>
          <w:noProof/>
        </w:rPr>
        <w:t>₁</w:t>
      </w:r>
      <w:r>
        <w:rPr>
          <w:noProof/>
        </w:rPr>
        <w:t>/FEV</w:t>
      </w:r>
      <w:r>
        <w:rPr>
          <w:rFonts w:ascii="Aptos" w:hAnsi="Aptos" w:cs="Aptos"/>
          <w:noProof/>
        </w:rPr>
        <w:t>₆</w:t>
      </w:r>
      <w:r>
        <w:rPr>
          <w:noProof/>
        </w:rPr>
        <w:t xml:space="preserve"> ratio. These findings will contribute to a better understanding of early markers of lung impairment and highlight the importance of routine lung health screening and early detection strategies.</w:t>
      </w:r>
    </w:p>
    <w:p w14:paraId="7AE02C36" w14:textId="2D3D7881" w:rsidR="004A5083" w:rsidRPr="00FF5CFA" w:rsidRDefault="00B57EAA" w:rsidP="00FF5CFA">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50D0DC2"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18</w:t>
      </w:r>
    </w:p>
    <w:p w14:paraId="60D57283"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Exploring respiratory health among Syrian refugees in Za'atari and Azraq camps</w:t>
      </w:r>
    </w:p>
    <w:p w14:paraId="7796FDC7" w14:textId="77777777" w:rsidR="004A5083" w:rsidRDefault="004A5083" w:rsidP="004A5083">
      <w:pPr>
        <w:spacing w:after="0" w:line="240" w:lineRule="auto"/>
        <w:jc w:val="center"/>
      </w:pPr>
      <w:r>
        <w:rPr>
          <w:noProof/>
        </w:rPr>
        <w:t>Abousaab, Maya*</w:t>
      </w:r>
    </w:p>
    <w:p w14:paraId="7692B499" w14:textId="77777777" w:rsidR="004A5083" w:rsidRDefault="004A5083" w:rsidP="004A5083">
      <w:pPr>
        <w:spacing w:after="0" w:line="240" w:lineRule="auto"/>
        <w:jc w:val="center"/>
      </w:pPr>
      <w:r>
        <w:rPr>
          <w:noProof/>
        </w:rPr>
        <w:t>Elon University</w:t>
      </w:r>
    </w:p>
    <w:p w14:paraId="752754C7" w14:textId="77777777" w:rsidR="004A5083" w:rsidRDefault="004A5083" w:rsidP="004A5083">
      <w:pPr>
        <w:spacing w:after="0" w:line="240" w:lineRule="auto"/>
        <w:jc w:val="center"/>
      </w:pPr>
    </w:p>
    <w:p w14:paraId="00EC5899" w14:textId="77777777" w:rsidR="004A5083" w:rsidRDefault="004A5083" w:rsidP="004A5083">
      <w:pPr>
        <w:spacing w:after="0" w:line="240" w:lineRule="auto"/>
      </w:pPr>
      <w:r>
        <w:rPr>
          <w:noProof/>
        </w:rPr>
        <w:t>Since the onset of the Syrian conflict in 2011, millions have been displaced and forced into overcrowded settlements with poor sanitation and limited access to healthcare. Respiratory illnesses have remained a consistent concern among Syrian refugees living in the Za’atari and Azraq refugee camps in northern Jordan. Za’atari rapidly became the world’s largest Syrian refugee camp, reaching over 120,000 people in 2013. To alleviate overcrowding and improve living conditions, Azraq was established two years later as a more regulated settlement. Across both camps, infectious respiratory illnesses, such as lower respiratory tract infections (LRTI) and tuberculosis, and chronic respiratory illnesses, such as asthma and chronic obstructive pulmonary disease, remain leading causes of morbidity and mortality. This study aims to compare the incidence and trends of these respiratory conditions across four different age groups (0-4, 5-17, 18-59, &gt;60 years) in Za’atari and Azraq from 2013-2024. Data have been drawn from publicly available UNHCR (the United Nations Refugee Agency) annual health reports, which aggregate clinical visits (for chronic conditions) and incident diagnoses (for infectious diseases) recorded by camp health centers. We are using meaningful data visualizations along with negative binomial regression models to explore differences in respiratory illness event rates by camp, year, and age group, adjusting for population size. Preliminary results suggest that infectious disease rates (primarily LRTI) were significantly higher in Za’atari across the three older age groups, with the largest difference observed among adults over 60 (3.4 times higher than in Azraq, p &lt; 0.0001). Conversely, infectious disease rates in children aged 0-4 were 2.2 times higher in Azraq (p&lt;0.0001). Clinic visits for adults over 60 were significantly higher in Zaatari (3.6 times higher than in Azraq, p &lt; 0.0001). Moving forward, we will continue to explore potential explanations for these observed differences between the camps.</w:t>
      </w:r>
    </w:p>
    <w:p w14:paraId="060F9444" w14:textId="116BD436" w:rsidR="004A5083" w:rsidRDefault="001166E7" w:rsidP="0046372A">
      <w:pPr>
        <w:jc w:val="center"/>
      </w:pPr>
      <w:hyperlink w:anchor="TableofContents" w:history="1">
        <w:r w:rsidRPr="45BF4E85">
          <w:rPr>
            <w:rStyle w:val="Hyperlink"/>
            <w:rFonts w:ascii="Calibri" w:hAnsi="Calibri" w:cs="Calibri"/>
            <w:b/>
            <w:bCs/>
            <w:kern w:val="0"/>
            <w:sz w:val="22"/>
            <w:szCs w:val="22"/>
          </w:rPr>
          <w:t>Return to Table of Contents</w:t>
        </w:r>
      </w:hyperlink>
    </w:p>
    <w:p w14:paraId="01B044E2" w14:textId="77777777" w:rsidR="003B41E8" w:rsidRDefault="003B41E8" w:rsidP="0046372A">
      <w:pPr>
        <w:jc w:val="center"/>
      </w:pPr>
    </w:p>
    <w:p w14:paraId="1EB7AE67" w14:textId="77777777" w:rsidR="004A5083" w:rsidRPr="00971952" w:rsidRDefault="004A5083" w:rsidP="004A5083">
      <w:pPr>
        <w:spacing w:after="0"/>
        <w:jc w:val="center"/>
        <w:rPr>
          <w:b/>
          <w:bCs/>
          <w:sz w:val="26"/>
          <w:szCs w:val="26"/>
        </w:rPr>
      </w:pPr>
      <w:r w:rsidRPr="00971952">
        <w:rPr>
          <w:b/>
          <w:bCs/>
          <w:sz w:val="26"/>
          <w:szCs w:val="26"/>
        </w:rPr>
        <w:lastRenderedPageBreak/>
        <w:t xml:space="preserve">Oral Presentation Abstract </w:t>
      </w:r>
      <w:r w:rsidRPr="0092723F">
        <w:rPr>
          <w:b/>
          <w:bCs/>
          <w:noProof/>
          <w:sz w:val="26"/>
          <w:szCs w:val="26"/>
        </w:rPr>
        <w:t>19</w:t>
      </w:r>
    </w:p>
    <w:p w14:paraId="07AA5F26"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Quantification of Mitragynine in Maeng Da and Borneo Kratom Strains: Analysis of Kratom Leaf Color and Strain using a GC-MS and GC-FID</w:t>
      </w:r>
    </w:p>
    <w:p w14:paraId="2E10F20F" w14:textId="77777777" w:rsidR="004A5083" w:rsidRDefault="004A5083" w:rsidP="004A5083">
      <w:pPr>
        <w:spacing w:after="0" w:line="240" w:lineRule="auto"/>
        <w:jc w:val="center"/>
      </w:pPr>
      <w:r>
        <w:rPr>
          <w:noProof/>
        </w:rPr>
        <w:t>Corwin, Lindsey*, Andy Steele</w:t>
      </w:r>
    </w:p>
    <w:p w14:paraId="5B2302F3" w14:textId="77777777" w:rsidR="004A5083" w:rsidRDefault="004A5083" w:rsidP="004A5083">
      <w:pPr>
        <w:spacing w:after="0" w:line="240" w:lineRule="auto"/>
        <w:jc w:val="center"/>
      </w:pPr>
      <w:r>
        <w:rPr>
          <w:noProof/>
        </w:rPr>
        <w:t>Lenior-Rhyne University</w:t>
      </w:r>
    </w:p>
    <w:p w14:paraId="69351022" w14:textId="77777777" w:rsidR="004A5083" w:rsidRDefault="004A5083" w:rsidP="004A5083">
      <w:pPr>
        <w:spacing w:after="0" w:line="240" w:lineRule="auto"/>
        <w:jc w:val="center"/>
      </w:pPr>
    </w:p>
    <w:p w14:paraId="33B8E76E" w14:textId="77777777" w:rsidR="004A5083" w:rsidRDefault="004A5083" w:rsidP="004A5083">
      <w:pPr>
        <w:spacing w:after="0" w:line="240" w:lineRule="auto"/>
      </w:pPr>
      <w:r>
        <w:rPr>
          <w:noProof/>
        </w:rPr>
        <w:t>Known for its analgesic and euphoric effects, kratom, Mitragyna speciosa, has substantially gained popularity in the past decade. Kratom use is a health concern due to the risk of death, coma, and other harmful side effects, due to a lack of knowledge about its alkaloid content. Kratom is hard to classify as either a depressant or stimulant due to the wide variety of products from different strains and leaf maturation. Six product variations were tested in this work. The main objective of this quantitative study is to compare the weight percentage of mitragynine, the primary active ingredient, and other alkaloid compounds among red, green, and white stem products from each Maeng da and Borneo Mitragyna strains, to test for a relationship between strain and maturity of stem color. We report a GC-MS and GC-FID method developed for detecting mitragynine in red Maeng da kratom for use in comparing the alkaloid profiles of the other kratom products. A bioassay using endocytosis in the protist Tetrahymena pyriformis was also developed to compare the physiological effects of extracts from different kratom products. These findings support that the weight percentage of mitragynine is dependent on the strain of kratom and the maturity of the leaf. These different kratom products are expected to lead to physiological effects that consumers should be better aware of.</w:t>
      </w:r>
    </w:p>
    <w:p w14:paraId="57934332" w14:textId="5AB26F19" w:rsidR="004A5083" w:rsidRPr="005148D4" w:rsidRDefault="00F875E5" w:rsidP="005148D4">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785C602"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20</w:t>
      </w:r>
    </w:p>
    <w:p w14:paraId="720A0354"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Polystyrene microplastics uptake drives Inflammatory, epitranscriptomic, and metabolic reprogramming in human aortic endothelial cells</w:t>
      </w:r>
    </w:p>
    <w:p w14:paraId="052EAE19" w14:textId="77777777" w:rsidR="004A5083" w:rsidRDefault="004A5083" w:rsidP="004A5083">
      <w:pPr>
        <w:spacing w:after="0" w:line="240" w:lineRule="auto"/>
        <w:jc w:val="center"/>
      </w:pPr>
      <w:r>
        <w:rPr>
          <w:noProof/>
        </w:rPr>
        <w:t>Khan, Ajmal*, Kyla Grant, Gordon Zheng, Warren S. Vidar, Frank Morales-Shnaider, Xuewei Zhu,  Norman Chiu, Zhenquan Jia</w:t>
      </w:r>
    </w:p>
    <w:p w14:paraId="6AD99CDE" w14:textId="77777777" w:rsidR="004A5083" w:rsidRDefault="004A5083" w:rsidP="004A5083">
      <w:pPr>
        <w:spacing w:after="0" w:line="240" w:lineRule="auto"/>
        <w:jc w:val="center"/>
      </w:pPr>
      <w:r>
        <w:rPr>
          <w:noProof/>
        </w:rPr>
        <w:t>Khan, Ajmal*, Kyla Grant, Gordon Zheng, (Department of Biology, University of North Carolina at Greensboro, Greensboro, NC 27412, USA), Warren S. Vidar, Frank Morales-Shnaider, Norman Chiu), Department of Chemistry and Biochemistry, University of North Ca</w:t>
      </w:r>
    </w:p>
    <w:p w14:paraId="3963DBCC" w14:textId="77777777" w:rsidR="004A5083" w:rsidRDefault="004A5083" w:rsidP="004A5083">
      <w:pPr>
        <w:spacing w:after="0" w:line="240" w:lineRule="auto"/>
        <w:jc w:val="center"/>
      </w:pPr>
    </w:p>
    <w:p w14:paraId="46F3F15C" w14:textId="77777777" w:rsidR="004A5083" w:rsidRDefault="004A5083" w:rsidP="004A5083">
      <w:pPr>
        <w:spacing w:after="0" w:line="240" w:lineRule="auto"/>
      </w:pPr>
      <w:r>
        <w:rPr>
          <w:noProof/>
        </w:rPr>
        <w:t xml:space="preserve">Microplastics are pervasive environmental pollutants increasingly implicated in adverse human health effects, with emerging evidence linking MPLs exposure to elevated cardiovascular risk, including atherosclerosis. However, their specific mechanism of action remains unknown. Human aortic endothelial cells (HAECs), located in the innermost layer of blood vessels, play a crucial role in maintaining vascular homeostasis and the development of atherosclerosis. This study demonstrates that polystyrene microplastics (MPLs 80 nm) can enter HAECs through multiple pathways, including macropinocytosis, clathrin-mediated endocytosis, and caveolin-mediated endocytosis, and co-localize with mitochondria and lysosomes. MPLs' exposure resulted in coordinated transcriptional, </w:t>
      </w:r>
      <w:r>
        <w:rPr>
          <w:noProof/>
        </w:rPr>
        <w:lastRenderedPageBreak/>
        <w:t>epitranscriptomic, and metabolomic reprogramming in HAECs, characterized by disruption of mitochondrial genes and inflammatory response with activation of TNF-α and NF-κB signaling. Integrative analysis revealed remodeling of epitranscriptomic profile, demonstrated by an increase in 1-methyladenosine (m1A) modification along with reciprocal regulation (TRMT61A upregulation and ALKBH3 suppression) of its transcriptomics machinery, alongside other enzymes that are associated with 3-methylcytidine (m3C), Pseudouridine (Ψ), 5-methylcytidine (m5C), and 7-methylguanosine (m7G) pathways. By comparing transcriptomic data from MPL-treated HAECs with that of human atherosclerotic plaques, several common dysregulated pathways were identified, particularly those related to vascular physiological regulation and cell signaling. In summary, this study reveals that HAECs can internalize MPLs, leading to multiple disturbances in the transcriptome, epigenome, and metabolic networks, suggesting that MPLs exposure may pose a potential hazard to human cardiovascular health.</w:t>
      </w:r>
    </w:p>
    <w:p w14:paraId="177F1E81" w14:textId="2B929F07" w:rsidR="004A5083" w:rsidRPr="005148D4" w:rsidRDefault="005148D4" w:rsidP="005148D4">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2C20AAA"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21</w:t>
      </w:r>
    </w:p>
    <w:p w14:paraId="691FE064"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Exploring alternative antimicrobial approaches through genomic analysis of a pediatric cutaneous specimen</w:t>
      </w:r>
    </w:p>
    <w:p w14:paraId="06F044DC" w14:textId="77777777" w:rsidR="004A5083" w:rsidRDefault="004A5083" w:rsidP="004A5083">
      <w:pPr>
        <w:spacing w:after="0" w:line="240" w:lineRule="auto"/>
        <w:jc w:val="center"/>
      </w:pPr>
      <w:r>
        <w:rPr>
          <w:noProof/>
        </w:rPr>
        <w:t>Rohrer, Taylor*,  Akamu, Ewunkem</w:t>
      </w:r>
    </w:p>
    <w:p w14:paraId="4A8E5EF3" w14:textId="77777777" w:rsidR="004A5083" w:rsidRDefault="004A5083" w:rsidP="004A5083">
      <w:pPr>
        <w:spacing w:after="0" w:line="240" w:lineRule="auto"/>
        <w:jc w:val="center"/>
      </w:pPr>
      <w:r>
        <w:rPr>
          <w:noProof/>
        </w:rPr>
        <w:t>Winston Salem State University</w:t>
      </w:r>
    </w:p>
    <w:p w14:paraId="52DD5E80" w14:textId="77777777" w:rsidR="004A5083" w:rsidRDefault="004A5083" w:rsidP="004A5083">
      <w:pPr>
        <w:spacing w:after="0" w:line="240" w:lineRule="auto"/>
        <w:jc w:val="center"/>
      </w:pPr>
    </w:p>
    <w:p w14:paraId="117F469E" w14:textId="77777777" w:rsidR="004A5083" w:rsidRDefault="004A5083" w:rsidP="004A5083">
      <w:pPr>
        <w:spacing w:after="0" w:line="240" w:lineRule="auto"/>
        <w:rPr>
          <w:noProof/>
        </w:rPr>
      </w:pPr>
      <w:r>
        <w:rPr>
          <w:noProof/>
        </w:rPr>
        <w:t xml:space="preserve">Accurate identification of pathogens can be challenging in pediatric dermatologic cases when symptoms overlap with multiple conditions and standard treatments fail. In this study, a clinical cutaneous specimen was obtained from an infant presenting with a widespread rash that had been repeatedly misattributed to Gianotti-Crosti syndrome, molluscum contagiosum, idiopathic urticaria, chronic rhinitis and staphylococcal infections. Due to persistent symptoms and inconsistent treatment outcomes, a comprehensive microbiological investigation was conducted to determine the underlying cause. </w:t>
      </w:r>
    </w:p>
    <w:p w14:paraId="5AC4E760" w14:textId="77777777" w:rsidR="004A5083" w:rsidRDefault="004A5083" w:rsidP="004A5083">
      <w:pPr>
        <w:spacing w:after="0" w:line="240" w:lineRule="auto"/>
        <w:rPr>
          <w:noProof/>
        </w:rPr>
      </w:pPr>
      <w:r>
        <w:rPr>
          <w:noProof/>
        </w:rPr>
        <w:t xml:space="preserve">The isolate was examined using a combination of classical microbiology techniques and advanced molecular methods. Initial characterization involved culture on selective and differential media, biochemical testing, Gram staining, and electron microscopy. Whole-genome sequencing was then used to confirm species identity, assess virulence potential, and identify antimicrobial resistance genes. This integrated analytical strategy allowed for precise classification of the organism and supported evidence-based treatment decisions. </w:t>
      </w:r>
    </w:p>
    <w:p w14:paraId="4EED2EC2" w14:textId="77777777" w:rsidR="004A5083" w:rsidRDefault="004A5083" w:rsidP="004A5083">
      <w:pPr>
        <w:spacing w:after="0" w:line="240" w:lineRule="auto"/>
        <w:rPr>
          <w:noProof/>
        </w:rPr>
      </w:pPr>
      <w:r>
        <w:rPr>
          <w:noProof/>
        </w:rPr>
        <w:t xml:space="preserve">Following a 24-hour incubation period, cultured samples displayed variability in colony morphology, suggesting a mixed bacterial growth. Subsequent phenotypic and microscopic analysis demonstrated that most recovered organisms were Gram-positive cocci consistent with streptococcal species. A subset of the organisms exhibited bacillus morphology and appeared to fuse to the cocci. These findings indicated a mixed taxonomic group, warranting further genomic investigation to differentiate species and strain-level characteristics. </w:t>
      </w:r>
    </w:p>
    <w:p w14:paraId="7C279CFE" w14:textId="77777777" w:rsidR="004A5083" w:rsidRDefault="004A5083" w:rsidP="004A5083">
      <w:pPr>
        <w:spacing w:after="0" w:line="240" w:lineRule="auto"/>
      </w:pPr>
      <w:r>
        <w:rPr>
          <w:noProof/>
        </w:rPr>
        <w:t xml:space="preserve">In addition to pathogen identification, this study evaluated nontraditional antimicrobial agents as potential alternatives to conventional antibiotics. Extracts derived from Zingiber </w:t>
      </w:r>
      <w:r>
        <w:rPr>
          <w:noProof/>
        </w:rPr>
        <w:lastRenderedPageBreak/>
        <w:t>officinale, Curcuma longa, and Salvia Rosmarinus , along with green-synthesized Ganoderma lucidum, were tested for antimicrobial activity. All agents demonstrated notable inhibitory effects against clinical isolates after 24 hours of exposure. These findings highlight the potential of plant-derived compounds and biologically synthesized nanoparticles as alternative antimicrobial therapies, particularly in cases complicated by resistance or diagnostic ambiguity. A forthcoming report will detail the specific streptococcal strains identified and their associated antimicrobial resistance genes.</w:t>
      </w:r>
    </w:p>
    <w:p w14:paraId="54F918EB" w14:textId="38F374C6" w:rsidR="00D35B7C" w:rsidRPr="005148D4" w:rsidRDefault="005148D4" w:rsidP="005148D4">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2DB06D50"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22</w:t>
      </w:r>
    </w:p>
    <w:p w14:paraId="645E50A8"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Thermal stability and enzymatic characterization of carbonic anhydrase variants for industrial CO2 capture</w:t>
      </w:r>
    </w:p>
    <w:p w14:paraId="11491886" w14:textId="77777777" w:rsidR="004A5083" w:rsidRDefault="004A5083" w:rsidP="004A5083">
      <w:pPr>
        <w:spacing w:after="0" w:line="240" w:lineRule="auto"/>
        <w:jc w:val="center"/>
      </w:pPr>
      <w:r>
        <w:rPr>
          <w:noProof/>
        </w:rPr>
        <w:t>Foster, Bobbi* , Greg Buhrman</w:t>
      </w:r>
    </w:p>
    <w:p w14:paraId="3C3E77D7" w14:textId="77777777" w:rsidR="004A5083" w:rsidRDefault="004A5083" w:rsidP="004A5083">
      <w:pPr>
        <w:spacing w:after="0" w:line="240" w:lineRule="auto"/>
        <w:jc w:val="center"/>
      </w:pPr>
      <w:r>
        <w:rPr>
          <w:noProof/>
        </w:rPr>
        <w:t>North Carolina State University</w:t>
      </w:r>
    </w:p>
    <w:p w14:paraId="43883E8F" w14:textId="77777777" w:rsidR="004A5083" w:rsidRDefault="004A5083" w:rsidP="004A5083">
      <w:pPr>
        <w:spacing w:after="0" w:line="240" w:lineRule="auto"/>
        <w:jc w:val="center"/>
      </w:pPr>
    </w:p>
    <w:p w14:paraId="5CD4CA6A" w14:textId="77777777" w:rsidR="004A5083" w:rsidRDefault="004A5083" w:rsidP="004A5083">
      <w:pPr>
        <w:spacing w:after="0" w:line="240" w:lineRule="auto"/>
        <w:rPr>
          <w:noProof/>
        </w:rPr>
      </w:pPr>
      <w:r>
        <w:rPr>
          <w:noProof/>
        </w:rPr>
        <w:t>Carbonic anhydrase (CA) is an enzyme of interest for industrial CO₂ capture applications, but many variants lose catalytic function at elevated temperatures. This study evaluates the thermal stability and catalytic performance of three CA variants, Bovine CA, PmCA, and a chimeric construct engineered to combine thermophilic traits. The variants were analyzed using SDS-PAGE, total protein quantification (BCA assay), and a colorimetric CA activity assay. In an initial comparative experiment, all three variants were subjected to heat treatment at 60°C for 20 minutes. PmCA demonstrated exceptional thermal stability, retaining nearly all soluble protein (&lt;1% loss) and exhibiting increased catalytic activity post-treatment, consistent with thermal activation. Bovine CA showed substantial denaturation (~84% protein loss) and near-complete loss of enzymatic activity. The chimera displayed intermediate behavior, with ~76% protein loss and significantly reduced activity, suggesting incomplete transfer of thermophilic characteristics. To further characterize the chimera's thermal profile, a follow-up experiment exposed lysates to a broader temperature range (25°C, 37°C, 50°C, 60°C, 75°C, and 90°C). Results revealed a thermal activation effect at 37°C, where both total and specific activity peaked, followed by a sharp decline in activity and soluble protein concentration at 60°C and above. Together, these findings indicate that while the chimera does not replicate PmCA's thermostability, it exhibits a distinct thermal response window that may be relevant for moderate-temperature CO₂ hydration applications.</w:t>
      </w:r>
    </w:p>
    <w:p w14:paraId="6A6635DF" w14:textId="12DFDE9C" w:rsidR="004A5083" w:rsidRPr="005148D4" w:rsidRDefault="005148D4" w:rsidP="005148D4">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7EF2BA9" w14:textId="77777777" w:rsidR="009972D2" w:rsidRDefault="009972D2" w:rsidP="004A5083">
      <w:pPr>
        <w:spacing w:after="0"/>
        <w:jc w:val="center"/>
        <w:rPr>
          <w:b/>
          <w:bCs/>
          <w:sz w:val="26"/>
          <w:szCs w:val="26"/>
        </w:rPr>
      </w:pPr>
    </w:p>
    <w:p w14:paraId="697B6E10" w14:textId="77777777" w:rsidR="00CB05AB" w:rsidRDefault="00CB05AB" w:rsidP="004A5083">
      <w:pPr>
        <w:spacing w:after="0"/>
        <w:jc w:val="center"/>
        <w:rPr>
          <w:b/>
          <w:bCs/>
          <w:sz w:val="26"/>
          <w:szCs w:val="26"/>
        </w:rPr>
      </w:pPr>
    </w:p>
    <w:p w14:paraId="39036400" w14:textId="77777777" w:rsidR="00CB05AB" w:rsidRDefault="00CB05AB" w:rsidP="004A5083">
      <w:pPr>
        <w:spacing w:after="0"/>
        <w:jc w:val="center"/>
        <w:rPr>
          <w:b/>
          <w:bCs/>
          <w:sz w:val="26"/>
          <w:szCs w:val="26"/>
        </w:rPr>
      </w:pPr>
    </w:p>
    <w:p w14:paraId="390F7152" w14:textId="77777777" w:rsidR="00CB05AB" w:rsidRDefault="00CB05AB" w:rsidP="004A5083">
      <w:pPr>
        <w:spacing w:after="0"/>
        <w:jc w:val="center"/>
        <w:rPr>
          <w:b/>
          <w:bCs/>
          <w:sz w:val="26"/>
          <w:szCs w:val="26"/>
        </w:rPr>
      </w:pPr>
    </w:p>
    <w:p w14:paraId="2E11642D" w14:textId="77777777" w:rsidR="00CB05AB" w:rsidRDefault="00CB05AB" w:rsidP="004A5083">
      <w:pPr>
        <w:spacing w:after="0"/>
        <w:jc w:val="center"/>
        <w:rPr>
          <w:b/>
          <w:bCs/>
          <w:sz w:val="26"/>
          <w:szCs w:val="26"/>
        </w:rPr>
      </w:pPr>
    </w:p>
    <w:p w14:paraId="73DF916A" w14:textId="77777777" w:rsidR="00CB05AB" w:rsidRDefault="00CB05AB" w:rsidP="004A5083">
      <w:pPr>
        <w:spacing w:after="0"/>
        <w:jc w:val="center"/>
        <w:rPr>
          <w:b/>
          <w:bCs/>
          <w:sz w:val="26"/>
          <w:szCs w:val="26"/>
        </w:rPr>
      </w:pPr>
    </w:p>
    <w:p w14:paraId="6E2DA565" w14:textId="77777777" w:rsidR="004A5083" w:rsidRPr="00971952" w:rsidRDefault="004A5083" w:rsidP="004A5083">
      <w:pPr>
        <w:spacing w:after="0"/>
        <w:jc w:val="center"/>
        <w:rPr>
          <w:b/>
          <w:bCs/>
          <w:sz w:val="26"/>
          <w:szCs w:val="26"/>
        </w:rPr>
      </w:pPr>
      <w:r w:rsidRPr="00971952">
        <w:rPr>
          <w:b/>
          <w:bCs/>
          <w:sz w:val="26"/>
          <w:szCs w:val="26"/>
        </w:rPr>
        <w:lastRenderedPageBreak/>
        <w:t xml:space="preserve">Oral Presentation Abstract </w:t>
      </w:r>
      <w:r w:rsidRPr="0092723F">
        <w:rPr>
          <w:b/>
          <w:bCs/>
          <w:noProof/>
          <w:sz w:val="26"/>
          <w:szCs w:val="26"/>
        </w:rPr>
        <w:t>23</w:t>
      </w:r>
    </w:p>
    <w:p w14:paraId="682EF76B" w14:textId="77777777" w:rsidR="004A5083" w:rsidRPr="00D35B7C" w:rsidRDefault="004A5083" w:rsidP="004A5083">
      <w:pPr>
        <w:spacing w:after="0" w:line="240" w:lineRule="auto"/>
        <w:jc w:val="center"/>
        <w:rPr>
          <w:rFonts w:ascii="Calibri" w:hAnsi="Calibri" w:cs="Calibri"/>
          <w:b/>
          <w:bCs/>
          <w:i/>
          <w:iCs/>
          <w:sz w:val="28"/>
          <w:szCs w:val="28"/>
        </w:rPr>
      </w:pPr>
      <w:r w:rsidRPr="0092723F">
        <w:rPr>
          <w:rFonts w:ascii="Calibri" w:hAnsi="Calibri" w:cs="Calibri"/>
          <w:b/>
          <w:bCs/>
          <w:noProof/>
          <w:sz w:val="28"/>
          <w:szCs w:val="28"/>
        </w:rPr>
        <w:t xml:space="preserve">Microbial fuel cell technology to observe gluconeogenesis in </w:t>
      </w:r>
      <w:r w:rsidRPr="00D35B7C">
        <w:rPr>
          <w:rFonts w:ascii="Calibri" w:hAnsi="Calibri" w:cs="Calibri"/>
          <w:b/>
          <w:bCs/>
          <w:i/>
          <w:iCs/>
          <w:noProof/>
          <w:sz w:val="28"/>
          <w:szCs w:val="28"/>
        </w:rPr>
        <w:t>Saccharomyces cerevisiae</w:t>
      </w:r>
    </w:p>
    <w:p w14:paraId="6CD6BB14" w14:textId="77777777" w:rsidR="004A5083" w:rsidRDefault="004A5083" w:rsidP="004A5083">
      <w:pPr>
        <w:spacing w:after="0" w:line="240" w:lineRule="auto"/>
        <w:jc w:val="center"/>
      </w:pPr>
      <w:r>
        <w:rPr>
          <w:noProof/>
        </w:rPr>
        <w:t>Moo, Kyaw*, Darryl K. Bing, Ph.D.</w:t>
      </w:r>
    </w:p>
    <w:p w14:paraId="04D3EE19" w14:textId="77777777" w:rsidR="004A5083" w:rsidRDefault="004A5083" w:rsidP="004A5083">
      <w:pPr>
        <w:spacing w:after="0" w:line="240" w:lineRule="auto"/>
        <w:jc w:val="center"/>
      </w:pPr>
      <w:r>
        <w:rPr>
          <w:noProof/>
        </w:rPr>
        <w:t>Durham Technical Community College</w:t>
      </w:r>
    </w:p>
    <w:p w14:paraId="5161E410" w14:textId="77777777" w:rsidR="004A5083" w:rsidRDefault="004A5083" w:rsidP="004A5083">
      <w:pPr>
        <w:spacing w:after="0" w:line="240" w:lineRule="auto"/>
        <w:jc w:val="center"/>
      </w:pPr>
    </w:p>
    <w:p w14:paraId="33770F62" w14:textId="77777777" w:rsidR="004A5083" w:rsidRDefault="004A5083" w:rsidP="004A5083">
      <w:pPr>
        <w:spacing w:after="0" w:line="240" w:lineRule="auto"/>
        <w:rPr>
          <w:noProof/>
        </w:rPr>
      </w:pPr>
      <w:r>
        <w:rPr>
          <w:noProof/>
        </w:rPr>
        <w:t>Gluconeogenesis is the metabolic pathway that produces glucose from non-carbohydrate to maintain glucose levels during fasting or when glucose is scarce. It is a conserved process in both humans and yeast, featuring key enzymes that bypass irreversible steps in glycolysis. The four key enzymes necessary for gluconeogenesis in humans are actually conserved in Saccharomyces Cerevisiae (i.e. yeast).</w:t>
      </w:r>
    </w:p>
    <w:p w14:paraId="7995E6B5" w14:textId="77777777" w:rsidR="004A5083" w:rsidRDefault="004A5083" w:rsidP="004A5083">
      <w:pPr>
        <w:spacing w:after="0" w:line="240" w:lineRule="auto"/>
        <w:rPr>
          <w:noProof/>
        </w:rPr>
      </w:pPr>
      <w:r>
        <w:rPr>
          <w:noProof/>
        </w:rPr>
        <w:t>The proposed research will utilize microbial fuel cell technology (MFC) to observe gluconeogenesis in Saccharomyces Cerevisiae. Microbial fuel cells are bio-electrochemical devices that use microorganisms as catalysts to oxidize organic matter converting chemical energy directly into electricity. They function by transferring electrons generated during microbial metabolism to an anode, which flow through a circuit to a cathode. To function, MFCs must be inoculated with a biofuel (e.g. glucose), and the oxidation of the biofuel under anaerobic conditions creates an electrical potential.</w:t>
      </w:r>
    </w:p>
    <w:p w14:paraId="06C0B23B" w14:textId="77777777" w:rsidR="004A5083" w:rsidRDefault="004A5083" w:rsidP="004A5083">
      <w:pPr>
        <w:spacing w:after="0" w:line="240" w:lineRule="auto"/>
        <w:rPr>
          <w:noProof/>
        </w:rPr>
      </w:pPr>
      <w:r>
        <w:rPr>
          <w:noProof/>
        </w:rPr>
        <w:t xml:space="preserve">While carbohydrates serve as the typical biofuel, the hypothesis of this lab is that amino acids can be a viable substitute. Additionally, it is expected that yeast cells, via transamination and gluconeogenesis, will convert amino acids into glucose which subsequently will be oxidized to yield an electrical potential. </w:t>
      </w:r>
    </w:p>
    <w:p w14:paraId="29823A4E" w14:textId="77777777" w:rsidR="004A5083" w:rsidRDefault="004A5083" w:rsidP="004A5083">
      <w:pPr>
        <w:spacing w:after="0" w:line="240" w:lineRule="auto"/>
      </w:pPr>
      <w:r>
        <w:rPr>
          <w:noProof/>
        </w:rPr>
        <w:t>Amino acids are classified as: glucogenic, ketogenic and both glucogenic/ketogenic, based on their capacity to be converted to either glucose or ketone bodies. It is safe to assume that an electrical potential generated from amino acids indicates that real-time gluconeogenesis is occurring. The goals of this research are: (1) observe and compare the voltage output from the MFC using glucose vs. amino acid as biofuels; (2) determine if a correlation exists between voltage output and amino acid classification. (3) The aforementioned work will be repeated using Escherichia Coli as the catalyst in the MFC.</w:t>
      </w:r>
    </w:p>
    <w:p w14:paraId="04039702" w14:textId="4080FB3A" w:rsidR="004A5083" w:rsidRPr="005148D4" w:rsidRDefault="005148D4" w:rsidP="005148D4">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8C4E4F2"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25</w:t>
      </w:r>
    </w:p>
    <w:p w14:paraId="548FDAC0"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 xml:space="preserve">Effects of creatine monohydrate supplementation on climbing performance post concussive damage in </w:t>
      </w:r>
      <w:r w:rsidRPr="00D35B7C">
        <w:rPr>
          <w:rFonts w:ascii="Calibri" w:hAnsi="Calibri" w:cs="Calibri"/>
          <w:b/>
          <w:bCs/>
          <w:i/>
          <w:iCs/>
          <w:noProof/>
          <w:sz w:val="28"/>
          <w:szCs w:val="28"/>
        </w:rPr>
        <w:t>Drosophila melanogaster</w:t>
      </w:r>
    </w:p>
    <w:p w14:paraId="2DC7D27D" w14:textId="77777777" w:rsidR="004A5083" w:rsidRDefault="004A5083" w:rsidP="004A5083">
      <w:pPr>
        <w:spacing w:after="0" w:line="240" w:lineRule="auto"/>
        <w:jc w:val="center"/>
      </w:pPr>
      <w:r>
        <w:rPr>
          <w:noProof/>
        </w:rPr>
        <w:t>Lachesky, Connor*, Scott Schaefer</w:t>
      </w:r>
    </w:p>
    <w:p w14:paraId="65E2DDF9" w14:textId="77777777" w:rsidR="004A5083" w:rsidRDefault="004A5083" w:rsidP="004A5083">
      <w:pPr>
        <w:spacing w:after="0" w:line="240" w:lineRule="auto"/>
        <w:jc w:val="center"/>
      </w:pPr>
      <w:r>
        <w:rPr>
          <w:noProof/>
        </w:rPr>
        <w:t>Lenoir-Rhyne University</w:t>
      </w:r>
    </w:p>
    <w:p w14:paraId="4B6A8E1F" w14:textId="77777777" w:rsidR="004A5083" w:rsidRDefault="004A5083" w:rsidP="004A5083">
      <w:pPr>
        <w:spacing w:after="0" w:line="240" w:lineRule="auto"/>
        <w:jc w:val="center"/>
      </w:pPr>
    </w:p>
    <w:p w14:paraId="5BB44467" w14:textId="52DA3161" w:rsidR="004A5083" w:rsidRDefault="004A5083" w:rsidP="004A5083">
      <w:pPr>
        <w:spacing w:after="0" w:line="240" w:lineRule="auto"/>
      </w:pPr>
      <w:r>
        <w:rPr>
          <w:noProof/>
        </w:rPr>
        <w:t xml:space="preserve">Traumatic brain injuries (TBI) are a prominent issue in sports and continue to illicit harm that over time could cause permanent neurological damage. Using humans in this field of research can be challenging, therefore using model systems that are closely comparable will be useful for learning more about treatment mechanisms. The main objective of this research was to investigate the use of Drosophila melanogaster (fruit fly) as a model system for testing the effects of creatine monohydrate, a common dietary supplement, on </w:t>
      </w:r>
      <w:r>
        <w:rPr>
          <w:noProof/>
        </w:rPr>
        <w:lastRenderedPageBreak/>
        <w:t>improving performance outcomes after inducing closed head concussive damage. Outcomes measured in this model include climbing height, weight change, and mortality index. Creatine monohydrate is hypothesized to improve these outcomes. Multiple methods were evaluated for inducing concussive damage to fruit flies. Data was ultimately collected after using a high impact trauma (HIT) device. Data was obtained through video observation, timed analysis, and an analytical balance. Predicted performance results of the supplemented experimental group are lower mortality index measured after 24 hours and again after 7 days post TBI induction. Higher climbing heights and increased weight are also expected for the supplemented group. These data could support that creatine monohydrate supplementation mitigates the effects of concussive damage symptoms and possibly decreases the time it takes for a full recovery. This investigation into creatine monohydrate could serve as an avenue for potential therapeutic applications in humans with more clinical testing needed to validate findings.</w:t>
      </w:r>
    </w:p>
    <w:p w14:paraId="627EE36C" w14:textId="1A2F2FDC" w:rsidR="00D35B7C" w:rsidRPr="00CD6B3E" w:rsidRDefault="00BE7534" w:rsidP="00CD6B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2850BABA" w14:textId="77777777" w:rsidR="00D35B7C" w:rsidRDefault="00D35B7C" w:rsidP="004A5083">
      <w:pPr>
        <w:spacing w:after="0" w:line="240" w:lineRule="auto"/>
      </w:pPr>
    </w:p>
    <w:p w14:paraId="2DB104AD"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26</w:t>
      </w:r>
    </w:p>
    <w:p w14:paraId="7B0D31D8"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The Effects of Carbon Nanodots on Ultrasonic Vocalizations and Other Behaviors of C57BL/6J mice.</w:t>
      </w:r>
    </w:p>
    <w:p w14:paraId="443E12DF" w14:textId="77777777" w:rsidR="004A5083" w:rsidRDefault="004A5083" w:rsidP="004A5083">
      <w:pPr>
        <w:spacing w:after="0" w:line="240" w:lineRule="auto"/>
        <w:jc w:val="center"/>
      </w:pPr>
      <w:r>
        <w:rPr>
          <w:noProof/>
        </w:rPr>
        <w:t>Delicia Esther Cardenas Vasquez1, Keith M. Erikson 2, Isabella Pack1, Steve Fordahl2, Chenhao Tang1, Kristina El-Khouri2, Tucker Philbrook1,  Radmila Petric1,3* and Zhenquan Jia1*</w:t>
      </w:r>
    </w:p>
    <w:p w14:paraId="1C66C1F7" w14:textId="77777777" w:rsidR="004A5083" w:rsidRDefault="004A5083" w:rsidP="004A5083">
      <w:pPr>
        <w:spacing w:after="0" w:line="240" w:lineRule="auto"/>
        <w:jc w:val="center"/>
      </w:pPr>
      <w:r>
        <w:rPr>
          <w:noProof/>
        </w:rPr>
        <w:t>1 Department of Biology, University of North Carolina at Greensboro, NC 27401, USA,  2 Department of Nutrition, University of North Carolina at Greensboro, NC 27401, USA,  3. Institute for the Environment, University of North Carolina at Chapel-Hill, NC 2</w:t>
      </w:r>
    </w:p>
    <w:p w14:paraId="2D2BE91D" w14:textId="77777777" w:rsidR="004A5083" w:rsidRDefault="004A5083" w:rsidP="004A5083">
      <w:pPr>
        <w:spacing w:after="0" w:line="240" w:lineRule="auto"/>
        <w:jc w:val="center"/>
      </w:pPr>
    </w:p>
    <w:p w14:paraId="089AC2D9" w14:textId="77777777" w:rsidR="004A5083" w:rsidRDefault="004A5083" w:rsidP="004A5083">
      <w:pPr>
        <w:spacing w:after="0" w:line="240" w:lineRule="auto"/>
        <w:rPr>
          <w:noProof/>
        </w:rPr>
      </w:pPr>
      <w:r>
        <w:rPr>
          <w:noProof/>
        </w:rPr>
        <w:t xml:space="preserve">Carbon nanodots (CNDs) are novel nanomaterials widely utilized in biomedicine because of their cost-effectiveness and low toxicity compared to other nanomaterials, particularly in applications such as bioimaging and drug delivery. While multiple in vitro and in vivo studies have demonstrated the low short-term toxicity of CNDs (7 days or less), limited information exists regarding their long-term effects in vivo. In particular, the potential impact of prolonged CND exposure on the physical appearance, development, and behavior of individuals remains unclear. </w:t>
      </w:r>
    </w:p>
    <w:p w14:paraId="3431B2FC" w14:textId="77777777" w:rsidR="004A5083" w:rsidRDefault="004A5083" w:rsidP="004A5083">
      <w:pPr>
        <w:spacing w:after="0" w:line="240" w:lineRule="auto"/>
        <w:rPr>
          <w:noProof/>
        </w:rPr>
      </w:pPr>
      <w:r>
        <w:rPr>
          <w:noProof/>
        </w:rPr>
        <w:t xml:space="preserve">We hypothesized that long-term administration of CNDs alters behavioral and physiological responses in laboratory mice. To test this hypothesis, we administered 2.5 mg/kg CNDs to C57BL/6J mice over an 8-week period and evaluated both behavioral and physiological outcomes. We specifically assessed communicative behavior by analyzing ultrasonic vocalizations (USVs). In addition, we performed two standardized behavioral assays—the Open Field Test and the Elevated Plus Maze Test—to examine potential changes in exploratory and anxiety-related behaviors. Neuromuscular performance was assessed using a forelimb strength test, and histological analyses of the liver and kidney, along with lipid peroxidation assays, were conducted to evaluate tissue-level effects. </w:t>
      </w:r>
    </w:p>
    <w:p w14:paraId="71AC3134" w14:textId="77777777" w:rsidR="004A5083" w:rsidRDefault="004A5083" w:rsidP="004A5083">
      <w:pPr>
        <w:spacing w:after="0" w:line="240" w:lineRule="auto"/>
        <w:rPr>
          <w:noProof/>
        </w:rPr>
      </w:pPr>
      <w:r>
        <w:rPr>
          <w:noProof/>
        </w:rPr>
        <w:t xml:space="preserve">CND-treated C57BL/6J mice produced fewer USVs than control mice and exhibited USVs with lower end and maximum frequencies. CND exposure also increased the total floor </w:t>
      </w:r>
      <w:r>
        <w:rPr>
          <w:noProof/>
        </w:rPr>
        <w:lastRenderedPageBreak/>
        <w:t xml:space="preserve">velocity in the open field test. No significant differences were observed between the treatment groups in the elevated plus maze or neuromuscular tests. Histological and lipid peroxidation analyses of the liver and kidneys revealed no detectable differences between the treated and control groups. </w:t>
      </w:r>
    </w:p>
    <w:p w14:paraId="75E898EA" w14:textId="77777777" w:rsidR="004A5083" w:rsidRDefault="004A5083" w:rsidP="004A5083">
      <w:pPr>
        <w:spacing w:after="0" w:line="240" w:lineRule="auto"/>
      </w:pPr>
      <w:r>
        <w:rPr>
          <w:noProof/>
        </w:rPr>
        <w:t>These findings suggest that the observed behavioral alterations, particularly changes in the calling rate and spectral characteristics of USVs, may reflect a mild stress response induced by long-term CND exposure in C57BL/6J mice.</w:t>
      </w:r>
    </w:p>
    <w:p w14:paraId="1F17FC4F" w14:textId="77777777" w:rsidR="00CD6B3E" w:rsidRPr="00C13D2E" w:rsidRDefault="00CD6B3E" w:rsidP="00CD6B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50B1FC55"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27</w:t>
      </w:r>
    </w:p>
    <w:p w14:paraId="572A1A06"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Assessing the Impact of Drought Stress on the Diversity and Carbon Source Utilization of the Fava Bean (</w:t>
      </w:r>
      <w:r w:rsidRPr="00D35B7C">
        <w:rPr>
          <w:rFonts w:ascii="Calibri" w:hAnsi="Calibri" w:cs="Calibri"/>
          <w:b/>
          <w:bCs/>
          <w:i/>
          <w:iCs/>
          <w:noProof/>
          <w:sz w:val="28"/>
          <w:szCs w:val="28"/>
        </w:rPr>
        <w:t>Vicia faba</w:t>
      </w:r>
      <w:r w:rsidRPr="0092723F">
        <w:rPr>
          <w:rFonts w:ascii="Calibri" w:hAnsi="Calibri" w:cs="Calibri"/>
          <w:b/>
          <w:bCs/>
          <w:noProof/>
          <w:sz w:val="28"/>
          <w:szCs w:val="28"/>
        </w:rPr>
        <w:t>) Rhizosphere Bacteria</w:t>
      </w:r>
    </w:p>
    <w:p w14:paraId="05354D85" w14:textId="77777777" w:rsidR="004A5083" w:rsidRDefault="004A5083" w:rsidP="004A5083">
      <w:pPr>
        <w:spacing w:after="0" w:line="240" w:lineRule="auto"/>
        <w:jc w:val="center"/>
      </w:pPr>
      <w:r>
        <w:rPr>
          <w:noProof/>
        </w:rPr>
        <w:t>Albano, Rocco*</w:t>
      </w:r>
    </w:p>
    <w:p w14:paraId="68EBAC06" w14:textId="77777777" w:rsidR="004A5083" w:rsidRDefault="004A5083" w:rsidP="004A5083">
      <w:pPr>
        <w:spacing w:after="0" w:line="240" w:lineRule="auto"/>
        <w:jc w:val="center"/>
      </w:pPr>
      <w:r>
        <w:rPr>
          <w:noProof/>
        </w:rPr>
        <w:t>Elon University</w:t>
      </w:r>
    </w:p>
    <w:p w14:paraId="343351AD" w14:textId="77777777" w:rsidR="004A5083" w:rsidRDefault="004A5083" w:rsidP="004A5083">
      <w:pPr>
        <w:spacing w:after="0" w:line="240" w:lineRule="auto"/>
        <w:jc w:val="center"/>
      </w:pPr>
    </w:p>
    <w:p w14:paraId="2FD1181D" w14:textId="77777777" w:rsidR="004A5083" w:rsidRDefault="004A5083" w:rsidP="004A5083">
      <w:pPr>
        <w:spacing w:after="0" w:line="240" w:lineRule="auto"/>
      </w:pPr>
      <w:r>
        <w:rPr>
          <w:noProof/>
        </w:rPr>
        <w:t>Ongoing anthropogenic climate change is projected to substantially increase regional frequency, duration, and intensity of drought events over the coming decades. Among the systems most vulnerable to these intensifying drought conditions are agricultural crops. Vicia faba (Fava Bean), an important staple crop cultivated worldwide, is particularly susceptible to drought stress, which significantly impairs growth, yield, and nitrogen fixation. In addition to plant genetics and irrigation methods, root-associated microbial communities (the rhizosphere microbiome) are increasingly recognized as critical mediators of plant drought responses. Many plant species can modulate the composition of their rhizosphere microbiome, potentially enhancing resilience to water limitation. Investigating drought-induced shifts in the V. faba rhizosphere microbiome may therefore provide insight into microbially-mediated mechanisms of stress tolerance. A controlled greenhouse experiment was conducted to examine how acute drought stress influences (1) the diversity of culturable rhizosphere bacteria and (2) community-level carbon use profile of the microbial community. Twenty V. faba plants were grown from seed under regularly watered conditions for the first two weeks and subsequently assigned to either a well-watered control or a drought treatment. Rhizosphere samples were collected at three time points two weeks apart from different plants. Suspensions of the rhizosphere were plated, and the microbial colonies were distinguished by morphotype using a custom Cell Profiler workflow to quantify richness and diversity of each rhizosphere community. Biolog EcoPlates were also used to generate community-level physiological profiles of carbon use. Analysis of 16S rRNA-gene-based molecular fingerprinting is ongoing. Across all samples, colony counts and morphotype richness varied by time and treatment. A significant reduction in morphotype richness under drought was observed after two weeks, followed by a return to richness levels comparable to controls at four weeks. EcoPlate analyses indicated broad and consistent carbon-substrate utilization across treatments. Together, these findings suggest that repeated drought induces a short-term decrease in culturable bacterial diversity in the V. faba rhizosphere, followed by community recovery over time.</w:t>
      </w:r>
    </w:p>
    <w:p w14:paraId="0396E835" w14:textId="6FE46980" w:rsidR="004A5083" w:rsidRPr="00CD6B3E" w:rsidRDefault="00CD6B3E" w:rsidP="00CD6B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F56DA4C" w14:textId="77777777" w:rsidR="004A5083" w:rsidRPr="00971952" w:rsidRDefault="004A5083" w:rsidP="004A5083">
      <w:pPr>
        <w:spacing w:after="0"/>
        <w:jc w:val="center"/>
        <w:rPr>
          <w:b/>
          <w:bCs/>
          <w:sz w:val="26"/>
          <w:szCs w:val="26"/>
        </w:rPr>
      </w:pPr>
      <w:r w:rsidRPr="00971952">
        <w:rPr>
          <w:b/>
          <w:bCs/>
          <w:sz w:val="26"/>
          <w:szCs w:val="26"/>
        </w:rPr>
        <w:lastRenderedPageBreak/>
        <w:t xml:space="preserve">Oral Presentation Abstract </w:t>
      </w:r>
      <w:r w:rsidRPr="0092723F">
        <w:rPr>
          <w:b/>
          <w:bCs/>
          <w:noProof/>
          <w:sz w:val="26"/>
          <w:szCs w:val="26"/>
        </w:rPr>
        <w:t>28</w:t>
      </w:r>
    </w:p>
    <w:p w14:paraId="5201736B"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A new technique for handling missing values in a deep-sea coral dataset: backfilling missing data utilizing growth rates</w:t>
      </w:r>
    </w:p>
    <w:p w14:paraId="1CB5B999" w14:textId="77777777" w:rsidR="004A5083" w:rsidRDefault="004A5083" w:rsidP="004A5083">
      <w:pPr>
        <w:spacing w:after="0" w:line="240" w:lineRule="auto"/>
        <w:jc w:val="center"/>
      </w:pPr>
      <w:r>
        <w:rPr>
          <w:noProof/>
        </w:rPr>
        <w:t>Donovan, Kelly M.; Bussberg, Nicholas W.*</w:t>
      </w:r>
    </w:p>
    <w:p w14:paraId="029DE160" w14:textId="77777777" w:rsidR="004A5083" w:rsidRDefault="004A5083" w:rsidP="004A5083">
      <w:pPr>
        <w:spacing w:after="0" w:line="240" w:lineRule="auto"/>
        <w:jc w:val="center"/>
      </w:pPr>
      <w:r>
        <w:rPr>
          <w:noProof/>
        </w:rPr>
        <w:t>Elon University</w:t>
      </w:r>
    </w:p>
    <w:p w14:paraId="7DDBDB97" w14:textId="77777777" w:rsidR="004A5083" w:rsidRDefault="004A5083" w:rsidP="004A5083">
      <w:pPr>
        <w:spacing w:after="0" w:line="240" w:lineRule="auto"/>
        <w:jc w:val="center"/>
      </w:pPr>
    </w:p>
    <w:p w14:paraId="76842724" w14:textId="77777777" w:rsidR="004A5083" w:rsidRDefault="004A5083" w:rsidP="004A5083">
      <w:pPr>
        <w:spacing w:after="0" w:line="240" w:lineRule="auto"/>
      </w:pPr>
      <w:r>
        <w:rPr>
          <w:noProof/>
        </w:rPr>
        <w:t>Missing data commonly occur in many datasets, and their presence can cause a multitude of problems. Many missing data methods have been developed and are successful in certain situations, but rarely do these methods directly account for characteristics of the observations themselves. We propose a new method for handling missing data in a deep-sea coral dataset that directly considers coral growth rates. Because deep-sea corals are slow-growing and stationary animals, their presence at a location could reliably be backfilled a certain number of years, given the growth rate and size of the species. Using the National Oceanic and Atmospheric Administration’s deep-sea coral and sponge database, we develop and apply this method for Desmophyllum spp. corals located in the Northern Gulf of Mexico ecoregion. After application of the method, approximately 9% of the non-missing values in the final dataset were original observations, while the other 91% were backfilled values. Though not all missing values were replaced with the backfill approach, the resulting, more complete dataset will be more suitable for other missing data imputation techniques that do not perform well with extreme amounts of missingness. The ability to directly incorporate biological information into missing data approaches can reliably increase the completeness of datasets. This will help future studies with analysis, producing for example a more accurate picture of deep-sea coral biodiversity.</w:t>
      </w:r>
    </w:p>
    <w:p w14:paraId="46DE8797" w14:textId="13B06FC7" w:rsidR="004A5083" w:rsidRPr="00CD6B3E" w:rsidRDefault="00CD6B3E" w:rsidP="00CD6B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2047AE7"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29</w:t>
      </w:r>
    </w:p>
    <w:p w14:paraId="60EBE1F5"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Creating Mathematical Palindromes from the Fibonacci numbers and Linear Recursions</w:t>
      </w:r>
    </w:p>
    <w:p w14:paraId="54485F60" w14:textId="77777777" w:rsidR="004A5083" w:rsidRDefault="004A5083" w:rsidP="004A5083">
      <w:pPr>
        <w:spacing w:after="0" w:line="240" w:lineRule="auto"/>
        <w:jc w:val="center"/>
      </w:pPr>
      <w:r>
        <w:rPr>
          <w:noProof/>
        </w:rPr>
        <w:t>Rosen, Tyler</w:t>
      </w:r>
    </w:p>
    <w:p w14:paraId="777FCAE0" w14:textId="77777777" w:rsidR="004A5083" w:rsidRDefault="004A5083" w:rsidP="004A5083">
      <w:pPr>
        <w:spacing w:after="0" w:line="240" w:lineRule="auto"/>
        <w:jc w:val="center"/>
      </w:pPr>
      <w:r>
        <w:rPr>
          <w:noProof/>
        </w:rPr>
        <w:t>Elon University</w:t>
      </w:r>
    </w:p>
    <w:p w14:paraId="7C96EDE1" w14:textId="77777777" w:rsidR="004A5083" w:rsidRDefault="004A5083" w:rsidP="004A5083">
      <w:pPr>
        <w:spacing w:after="0" w:line="240" w:lineRule="auto"/>
        <w:jc w:val="center"/>
      </w:pPr>
    </w:p>
    <w:p w14:paraId="4530D057" w14:textId="77777777" w:rsidR="004A5083" w:rsidRDefault="004A5083" w:rsidP="004A5083">
      <w:pPr>
        <w:spacing w:after="0" w:line="240" w:lineRule="auto"/>
      </w:pPr>
      <w:r>
        <w:rPr>
          <w:noProof/>
        </w:rPr>
        <w:t xml:space="preserve">The Fibonacci numbers are an important and widely studied sequence of numbers starting with 0 and 1, where each new number in the sequence is the sum of the two previous numbers. We analyze mathematical patterns that emerge when studying the product of two Fibonacci numbers. The product of two Fibonacci numbers creates a new sequence given by (-1)^i · F(i) · F(i + j), where j indicates how many numbers apart these two numbers are in the Fibonacci sequence. Past researchers used a product of Fibonacci numbers to model an infinite version of the handheld puzzle game called Lights Out. They developed a linear recursion to solve this game, given by R(i) = -1 - 3R(i - 1) - R(i - 2), and found that the recursion was equal to the product of two Fibonacci numbers that are 1 number apart: R(i) = (-1)^i · F(i) · F(i + 1). We generalized this result by developing our own linear recursion, S(i) = -(F(j + 1) + F(j - 1)) - 3S(i - 1) - S(i - 2), and we found an analogous solution for S(i) as a </w:t>
      </w:r>
      <w:r>
        <w:rPr>
          <w:noProof/>
        </w:rPr>
        <w:lastRenderedPageBreak/>
        <w:t>product of two Fibonacci numbers, S(i) = (-1)^i · F(i) · F(i + j). We analyze our recursion modulo k, which means we take the remainder of each term when dividing by k. The new sequence is periodic, and we prove that the numbers in each period form a numerical palindrome such as 0, 3, 2, 2, 3, 0.</w:t>
      </w:r>
    </w:p>
    <w:p w14:paraId="7CB58054" w14:textId="45EF36EA" w:rsidR="004A5083" w:rsidRPr="00CD6B3E" w:rsidRDefault="00CD6B3E" w:rsidP="00CD6B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599446DC" w14:textId="77777777" w:rsidR="00A80E99" w:rsidRDefault="00A80E99" w:rsidP="004A5083">
      <w:pPr>
        <w:spacing w:after="0" w:line="240" w:lineRule="auto"/>
      </w:pPr>
    </w:p>
    <w:p w14:paraId="5A0917D7"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30</w:t>
      </w:r>
    </w:p>
    <w:p w14:paraId="29E480BA"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A mathematical approach to Prion misfolding</w:t>
      </w:r>
    </w:p>
    <w:p w14:paraId="3E2B2F72" w14:textId="77777777" w:rsidR="004A5083" w:rsidRDefault="004A5083" w:rsidP="004A5083">
      <w:pPr>
        <w:spacing w:after="0" w:line="240" w:lineRule="auto"/>
        <w:jc w:val="center"/>
      </w:pPr>
      <w:r>
        <w:rPr>
          <w:noProof/>
        </w:rPr>
        <w:t>Cassell, Morgan*, Ashley L. Bennett</w:t>
      </w:r>
    </w:p>
    <w:p w14:paraId="19C7F405" w14:textId="77777777" w:rsidR="004A5083" w:rsidRDefault="004A5083" w:rsidP="004A5083">
      <w:pPr>
        <w:spacing w:after="0" w:line="240" w:lineRule="auto"/>
        <w:jc w:val="center"/>
      </w:pPr>
      <w:r>
        <w:rPr>
          <w:noProof/>
        </w:rPr>
        <w:t>Barton College</w:t>
      </w:r>
    </w:p>
    <w:p w14:paraId="26E921DC" w14:textId="77777777" w:rsidR="004A5083" w:rsidRDefault="004A5083" w:rsidP="004A5083">
      <w:pPr>
        <w:spacing w:after="0" w:line="240" w:lineRule="auto"/>
        <w:jc w:val="center"/>
      </w:pPr>
    </w:p>
    <w:p w14:paraId="58C4B7AF" w14:textId="77777777" w:rsidR="004A5083" w:rsidRDefault="004A5083" w:rsidP="004A5083">
      <w:pPr>
        <w:spacing w:after="0" w:line="240" w:lineRule="auto"/>
      </w:pPr>
      <w:r>
        <w:rPr>
          <w:noProof/>
        </w:rPr>
        <w:t>Prion diseases are a rare form of infectious neurodegenerative disorders that can infect humans as well as other mammals and can also be transferred from mammals to humans. Currently, these prion diseases remain both fatal and untreatable. These serious prion diseases are ultimately caused by transmutation of the prion protein (PrPC), which is natively expressed in the central nervous system of mammals, into an infectious isoform, PrPSc. High resolution NMR and cryogenic electron microscopy structures of PrPC and PrPSc have revealed vast structural differences between the two isoforms despite having the same amino acid sequence. While much is known about the specific structural differences between the native and infectious PrP isoforms, almost nothing is understood about the initial misfolding events triggering the PrP to fold into the PrPSc or the specific details of how a misfolded PrPSc infectious isoform and trigger a non-infectious PrPC into the infectious isoform. Here, we provide a novel mathematical framework for studying prion structures and folding with the ultimate goal of building a predictive model. Leveraging experimentally-derived constraints we demonstrate a topology based model that enables a dimensionality reduction of the coordinate space by projection onto the contact space thus enabling more efficient analysis of the interacting residues and interactions driving the PrPC misfolding to PrPSc. Now that this framework is established, moving forward we will integrate with biophysical, structural, and machine learning analyses to explore the cellular factors that act as predictors for triggering a prion protein misfolding event.</w:t>
      </w:r>
    </w:p>
    <w:p w14:paraId="685E7D47" w14:textId="440F13D8" w:rsidR="00CB0D31" w:rsidRPr="00CD6B3E" w:rsidRDefault="00CD6B3E" w:rsidP="00CD6B3E">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AC674A8" w14:textId="77777777" w:rsidR="004A5083" w:rsidRPr="00971952" w:rsidRDefault="004A5083" w:rsidP="004A5083">
      <w:pPr>
        <w:spacing w:after="0"/>
        <w:jc w:val="center"/>
        <w:rPr>
          <w:b/>
          <w:bCs/>
          <w:sz w:val="26"/>
          <w:szCs w:val="26"/>
        </w:rPr>
      </w:pPr>
      <w:r w:rsidRPr="00971952">
        <w:rPr>
          <w:b/>
          <w:bCs/>
          <w:sz w:val="26"/>
          <w:szCs w:val="26"/>
        </w:rPr>
        <w:t xml:space="preserve">Oral Presentation Abstract </w:t>
      </w:r>
      <w:r w:rsidRPr="0092723F">
        <w:rPr>
          <w:b/>
          <w:bCs/>
          <w:noProof/>
          <w:sz w:val="26"/>
          <w:szCs w:val="26"/>
        </w:rPr>
        <w:t>31</w:t>
      </w:r>
    </w:p>
    <w:p w14:paraId="6A761EF4" w14:textId="77777777" w:rsidR="004A5083" w:rsidRPr="00971952" w:rsidRDefault="004A5083" w:rsidP="004A5083">
      <w:pPr>
        <w:spacing w:after="0" w:line="240" w:lineRule="auto"/>
        <w:jc w:val="center"/>
        <w:rPr>
          <w:rFonts w:ascii="Calibri" w:hAnsi="Calibri" w:cs="Calibri"/>
          <w:b/>
          <w:bCs/>
          <w:sz w:val="28"/>
          <w:szCs w:val="28"/>
        </w:rPr>
      </w:pPr>
      <w:r w:rsidRPr="0092723F">
        <w:rPr>
          <w:rFonts w:ascii="Calibri" w:hAnsi="Calibri" w:cs="Calibri"/>
          <w:b/>
          <w:bCs/>
          <w:noProof/>
          <w:sz w:val="28"/>
          <w:szCs w:val="28"/>
        </w:rPr>
        <w:t>Bayesian integrative approach identifies hidden intermediates in DH270-induced structural transitions of HIV-1 Envelope</w:t>
      </w:r>
    </w:p>
    <w:p w14:paraId="508E733F" w14:textId="77777777" w:rsidR="004A5083" w:rsidRDefault="004A5083" w:rsidP="004A5083">
      <w:pPr>
        <w:spacing w:after="0" w:line="240" w:lineRule="auto"/>
        <w:jc w:val="center"/>
      </w:pPr>
      <w:r>
        <w:rPr>
          <w:noProof/>
        </w:rPr>
        <w:t>Vrable, Alaina*, Ashley L. Bennett</w:t>
      </w:r>
    </w:p>
    <w:p w14:paraId="03E8145A" w14:textId="77777777" w:rsidR="004A5083" w:rsidRDefault="004A5083" w:rsidP="004A5083">
      <w:pPr>
        <w:spacing w:after="0" w:line="240" w:lineRule="auto"/>
        <w:jc w:val="center"/>
      </w:pPr>
      <w:r>
        <w:rPr>
          <w:noProof/>
        </w:rPr>
        <w:t>*Barton College, Department of Pharmaceutical Chemistry; Barton College, Department of Biology</w:t>
      </w:r>
    </w:p>
    <w:p w14:paraId="796179B6" w14:textId="77777777" w:rsidR="004A5083" w:rsidRDefault="004A5083" w:rsidP="004A5083">
      <w:pPr>
        <w:spacing w:after="0" w:line="240" w:lineRule="auto"/>
        <w:jc w:val="center"/>
      </w:pPr>
    </w:p>
    <w:p w14:paraId="2B874416" w14:textId="77777777" w:rsidR="004A5083" w:rsidRDefault="004A5083" w:rsidP="004A5083">
      <w:pPr>
        <w:spacing w:after="0" w:line="240" w:lineRule="auto"/>
      </w:pPr>
      <w:r>
        <w:rPr>
          <w:noProof/>
        </w:rPr>
        <w:t xml:space="preserve">HIV-1 Envelope glycoprotein (Env) undergoes a sequence of structural transitions, from a closed conformation to an open structure, initiates host-cell infection, and alters exposure of antibody epitopes. Closed-to-open transition proceeds through both short-lived </w:t>
      </w:r>
      <w:r>
        <w:rPr>
          <w:noProof/>
        </w:rPr>
        <w:lastRenderedPageBreak/>
        <w:t>disordered and more stable open-occluded intermediates, exposing distinct antibody binding surfaces. Designing effective HIV-1 vaccines requires deeper understanding how Env opening changes antibody engagement. DH270 is a broadly neutralizing antibody with neutralization capacity against a range of HIV-1 strains that stabilizes closed Env structure. Env structural changes on microsecond timescales induced by DH270 binding were first captured at high temporal resolution using time-resolved, temperature-jump small-angle X-ray scattering (TR, T-Jump SAXS). Interpretation of these low-resolution data is challenging due to substantial conformational heterogeneity involved in binding processes. To enable high-confidence structural interpretation of TR, T-Jump SAXS signals, we developed a novel integrative approach combining Markov state models, homology modeling, and a Bayesian inference framework to fit theoretical structures to experimental data. We generated structural models for each known Env conformation, closed, disordered, open-occluded, and open, each in one of several possible DH270-bound states, yielding 9,600 unique DH270-bound Env models. Comparison of theoretical SAXS profiles from these models with experimental data indicates open-occluded intermediate and partially DH270-bound closed Env states contribute substantially to DH270-induced Env motions and inclusion of these partially bound encounter complexes significantly improves model fits. Disordered intermediate and fully open Env conformations appear to play no role in DH270-induced structural response, consistent with prior evidence that DH270 stabilizes closed Env conformation. Improvements to the fit remain needed and suggests additional, as-yet-unidentified Env conformational states may be required to fully capture experimental TR, T-Jump SAXS signals. These results can be leveraged to engineer antibody affinity and neutralization potency in potential vaccine immunogen candidates. Newly characterized structural transitions provide a foundation for future structure-guided HIV-1 vaccine design.</w:t>
      </w:r>
    </w:p>
    <w:p w14:paraId="73F75C5F" w14:textId="77777777" w:rsidR="00E044D8" w:rsidRPr="00B051AC" w:rsidRDefault="00E044D8" w:rsidP="00E044D8">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3AEA8905" w14:textId="77777777" w:rsidR="00CB0D31" w:rsidRDefault="00CB0D31" w:rsidP="004A5083">
      <w:pPr>
        <w:spacing w:after="0" w:line="240" w:lineRule="auto"/>
        <w:jc w:val="center"/>
      </w:pPr>
    </w:p>
    <w:p w14:paraId="74EDED2D" w14:textId="77777777" w:rsidR="00D30923" w:rsidRDefault="00D30923" w:rsidP="00D30923">
      <w:pPr>
        <w:spacing w:after="0"/>
        <w:jc w:val="center"/>
        <w:rPr>
          <w:b/>
          <w:bCs/>
          <w:sz w:val="26"/>
          <w:szCs w:val="26"/>
        </w:rPr>
      </w:pPr>
      <w:bookmarkStart w:id="25" w:name="PosterAbstracts"/>
      <w:r>
        <w:rPr>
          <w:b/>
          <w:bCs/>
          <w:sz w:val="26"/>
          <w:szCs w:val="26"/>
        </w:rPr>
        <w:t xml:space="preserve">Poster Abstract </w:t>
      </w:r>
      <w:r w:rsidRPr="0092723F">
        <w:rPr>
          <w:b/>
          <w:bCs/>
          <w:noProof/>
          <w:sz w:val="26"/>
          <w:szCs w:val="26"/>
        </w:rPr>
        <w:t>P-1</w:t>
      </w:r>
      <w:r>
        <w:rPr>
          <w:b/>
          <w:bCs/>
          <w:sz w:val="26"/>
          <w:szCs w:val="26"/>
        </w:rPr>
        <w:t xml:space="preserve"> </w:t>
      </w:r>
    </w:p>
    <w:bookmarkEnd w:id="25"/>
    <w:p w14:paraId="66B0BE4C" w14:textId="77777777" w:rsidR="00D30923" w:rsidRPr="00971952" w:rsidRDefault="00D30923" w:rsidP="00D30923">
      <w:pPr>
        <w:spacing w:after="0"/>
        <w:jc w:val="center"/>
        <w:rPr>
          <w:b/>
          <w:bCs/>
          <w:sz w:val="26"/>
          <w:szCs w:val="26"/>
        </w:rPr>
      </w:pPr>
      <w:r w:rsidRPr="0092723F">
        <w:rPr>
          <w:b/>
          <w:bCs/>
          <w:noProof/>
          <w:sz w:val="26"/>
          <w:szCs w:val="26"/>
        </w:rPr>
        <w:t>Multidecadal analyses of cyanobacteria populations in the lower Pamlico River</w:t>
      </w:r>
    </w:p>
    <w:p w14:paraId="258159A1" w14:textId="77777777" w:rsidR="00D30923" w:rsidRDefault="00D30923" w:rsidP="00D30923">
      <w:pPr>
        <w:spacing w:after="0" w:line="240" w:lineRule="auto"/>
        <w:jc w:val="center"/>
      </w:pPr>
      <w:r>
        <w:rPr>
          <w:noProof/>
        </w:rPr>
        <w:t>Plaza Gasalla, Lucia, Brant Touchette, Blake Hament</w:t>
      </w:r>
    </w:p>
    <w:p w14:paraId="6E583E2B" w14:textId="77777777" w:rsidR="00D30923" w:rsidRDefault="00D30923" w:rsidP="00D30923">
      <w:pPr>
        <w:spacing w:after="0" w:line="240" w:lineRule="auto"/>
        <w:jc w:val="center"/>
      </w:pPr>
      <w:r>
        <w:rPr>
          <w:noProof/>
        </w:rPr>
        <w:t>Elon University</w:t>
      </w:r>
    </w:p>
    <w:p w14:paraId="4A55D8CE" w14:textId="77777777" w:rsidR="00D30923" w:rsidRDefault="00D30923" w:rsidP="00D30923">
      <w:pPr>
        <w:spacing w:after="0" w:line="240" w:lineRule="auto"/>
        <w:jc w:val="center"/>
      </w:pPr>
    </w:p>
    <w:p w14:paraId="5A6B20F0" w14:textId="77777777" w:rsidR="00D30923" w:rsidRDefault="00D30923" w:rsidP="00D30923">
      <w:pPr>
        <w:spacing w:after="0" w:line="240" w:lineRule="auto"/>
      </w:pPr>
      <w:r>
        <w:rPr>
          <w:noProof/>
        </w:rPr>
        <w:t xml:space="preserve">Cyanobacterial blooms often promote light attenuation in surface waters, unpleasant taste and odors in municipal water supplies, and anoxic or hypoxic conditions following bloom die-back. Some cyanobacterial species can also produce cyanotoxins that may alter ecological functions in freshwater systems and pose risks to human health. In this study, we wanted to determine how cyanobacterial populations were influenced by nutrients and other physiochemical parameters over a 22-year period (2001 to 2023) in the lower Pamlico River. Specifically, we focused on three potentially toxigenic cyanobacterial genera (Anabaena, Aphanizomenon, and Cylindrospermopsis). In general, the results indicate that all three genera were responsive to nutrients with greater cell abundance (&gt; 1,000 cells mL-1) as total phosphorus concentrations increased in surface waters. Salinity had negative influences on Anabaena and Aphanizomenon as populations declined when salinities </w:t>
      </w:r>
      <w:r>
        <w:rPr>
          <w:noProof/>
        </w:rPr>
        <w:lastRenderedPageBreak/>
        <w:t>increased near 10 psu. While all three genera preferred temperatures greater than 25°C, cell densities of Cylindrospermopsis raciborskii appeared to diminish as temperatures fell below 20°C. Moreover, Anabaena populations increased as gate height decreased, suggesting that there is some level of sensitivity to elevated surface water flow.</w:t>
      </w:r>
    </w:p>
    <w:p w14:paraId="5ADB89AD" w14:textId="1EA464F7" w:rsidR="00D30923" w:rsidRPr="00FA2976" w:rsidRDefault="00FA2976" w:rsidP="00FA2976">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33DA0AB"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w:t>
      </w:r>
      <w:r>
        <w:rPr>
          <w:b/>
          <w:bCs/>
          <w:sz w:val="26"/>
          <w:szCs w:val="26"/>
        </w:rPr>
        <w:t xml:space="preserve"> </w:t>
      </w:r>
    </w:p>
    <w:p w14:paraId="5E498C66" w14:textId="77777777" w:rsidR="00D30923" w:rsidRPr="00971952" w:rsidRDefault="00D30923" w:rsidP="00D30923">
      <w:pPr>
        <w:spacing w:after="0"/>
        <w:jc w:val="center"/>
        <w:rPr>
          <w:b/>
          <w:bCs/>
          <w:sz w:val="26"/>
          <w:szCs w:val="26"/>
        </w:rPr>
      </w:pPr>
      <w:r w:rsidRPr="0092723F">
        <w:rPr>
          <w:b/>
          <w:bCs/>
          <w:noProof/>
          <w:sz w:val="26"/>
          <w:szCs w:val="26"/>
        </w:rPr>
        <w:t xml:space="preserve">Isolation and characterization of </w:t>
      </w:r>
      <w:r w:rsidRPr="00A80E99">
        <w:rPr>
          <w:b/>
          <w:bCs/>
          <w:i/>
          <w:iCs/>
          <w:noProof/>
          <w:sz w:val="26"/>
          <w:szCs w:val="26"/>
        </w:rPr>
        <w:t>Pseudomonas aeruginosa</w:t>
      </w:r>
      <w:r w:rsidRPr="0092723F">
        <w:rPr>
          <w:b/>
          <w:bCs/>
          <w:noProof/>
          <w:sz w:val="26"/>
          <w:szCs w:val="26"/>
        </w:rPr>
        <w:t xml:space="preserve"> from municipal wastewater treatment systems</w:t>
      </w:r>
    </w:p>
    <w:p w14:paraId="469BFB72" w14:textId="77777777" w:rsidR="00D30923" w:rsidRDefault="00D30923" w:rsidP="00D30923">
      <w:pPr>
        <w:spacing w:after="0" w:line="240" w:lineRule="auto"/>
        <w:jc w:val="center"/>
      </w:pPr>
      <w:r>
        <w:rPr>
          <w:noProof/>
        </w:rPr>
        <w:t>Alford A. Ajah*, Shaliah Joyner, Mabel K. Aworh</w:t>
      </w:r>
    </w:p>
    <w:p w14:paraId="690A2ECF" w14:textId="77777777" w:rsidR="00D30923" w:rsidRDefault="00D30923" w:rsidP="00D30923">
      <w:pPr>
        <w:spacing w:after="0" w:line="240" w:lineRule="auto"/>
        <w:jc w:val="center"/>
      </w:pPr>
      <w:r>
        <w:rPr>
          <w:noProof/>
        </w:rPr>
        <w:t>Department of Biological and Forensic Sciences, Fayetteville State University, Fayetteville, NC, USA</w:t>
      </w:r>
    </w:p>
    <w:p w14:paraId="46B2B8B4" w14:textId="77777777" w:rsidR="00D30923" w:rsidRDefault="00D30923" w:rsidP="00D30923">
      <w:pPr>
        <w:spacing w:after="0" w:line="240" w:lineRule="auto"/>
        <w:jc w:val="center"/>
      </w:pPr>
    </w:p>
    <w:p w14:paraId="5164B4BF" w14:textId="77777777" w:rsidR="00D30923" w:rsidRDefault="00D30923" w:rsidP="00D30923">
      <w:pPr>
        <w:spacing w:after="0" w:line="240" w:lineRule="auto"/>
        <w:rPr>
          <w:noProof/>
        </w:rPr>
      </w:pPr>
      <w:r>
        <w:rPr>
          <w:noProof/>
        </w:rPr>
        <w:t>Pseudomonas aeruginosa is a persistent environmental bacterium known for its antimicrobial resistance (AMR) and its ability to thrive in wastewater systems. Commonly inhabiting moist environments and forming biofilms, this organism poses challenges for maintaining clean and safe water systems. This study aims to determine the occurrence of P. aeruginosa in wastewater treatment systems in Fayetteville, North Carolina, and to characterize AMR patterns among environmental isolates.</w:t>
      </w:r>
    </w:p>
    <w:p w14:paraId="1F76D7AF" w14:textId="77777777" w:rsidR="00D30923" w:rsidRDefault="00D30923" w:rsidP="00D30923">
      <w:pPr>
        <w:spacing w:after="0" w:line="240" w:lineRule="auto"/>
        <w:rPr>
          <w:noProof/>
        </w:rPr>
      </w:pPr>
      <w:r>
        <w:rPr>
          <w:noProof/>
        </w:rPr>
        <w:t>Influent, effluent and sludge wastewater samples were collected twice monthly in 2026 from two municipal wastewater treatment plants. Samples were serially diluted and plated on Pseudomonas Cetrimide Agar, and presumptive colonies were confirmed using biochemical testing. Confirmed isolates were purified and quantified using colony-forming units (CFU/mL). Antimicrobial susceptibility testing (AST) was performed using the disk diffusion method against seven antibiotics to assess resistance profiles.</w:t>
      </w:r>
    </w:p>
    <w:p w14:paraId="2D3D1550" w14:textId="77777777" w:rsidR="00D30923" w:rsidRDefault="00D30923" w:rsidP="00D30923">
      <w:pPr>
        <w:spacing w:after="0" w:line="240" w:lineRule="auto"/>
        <w:rPr>
          <w:noProof/>
        </w:rPr>
      </w:pPr>
      <w:r>
        <w:rPr>
          <w:noProof/>
        </w:rPr>
        <w:t>Of the 95 wastewater samples collected, the prevalence of P. aeruginosa was 48.4% (n</w:t>
      </w:r>
      <w:r>
        <w:rPr>
          <w:rFonts w:ascii="Arial" w:hAnsi="Arial" w:cs="Arial"/>
          <w:noProof/>
        </w:rPr>
        <w:t> </w:t>
      </w:r>
      <w:r>
        <w:rPr>
          <w:noProof/>
        </w:rPr>
        <w:t>=</w:t>
      </w:r>
      <w:r>
        <w:rPr>
          <w:rFonts w:ascii="Arial" w:hAnsi="Arial" w:cs="Arial"/>
          <w:noProof/>
        </w:rPr>
        <w:t> </w:t>
      </w:r>
      <w:r>
        <w:rPr>
          <w:noProof/>
        </w:rPr>
        <w:t>46). Across all samples, pH values remained stable (mean</w:t>
      </w:r>
      <w:r>
        <w:rPr>
          <w:rFonts w:ascii="Arial" w:hAnsi="Arial" w:cs="Arial"/>
          <w:noProof/>
        </w:rPr>
        <w:t> </w:t>
      </w:r>
      <w:r>
        <w:rPr>
          <w:noProof/>
        </w:rPr>
        <w:t>=</w:t>
      </w:r>
      <w:r>
        <w:rPr>
          <w:rFonts w:ascii="Arial" w:hAnsi="Arial" w:cs="Arial"/>
          <w:noProof/>
        </w:rPr>
        <w:t> </w:t>
      </w:r>
      <w:r>
        <w:rPr>
          <w:noProof/>
        </w:rPr>
        <w:t>6.32, SD</w:t>
      </w:r>
      <w:r>
        <w:rPr>
          <w:rFonts w:ascii="Arial" w:hAnsi="Arial" w:cs="Arial"/>
          <w:noProof/>
        </w:rPr>
        <w:t> </w:t>
      </w:r>
      <w:r>
        <w:rPr>
          <w:noProof/>
        </w:rPr>
        <w:t>=</w:t>
      </w:r>
      <w:r>
        <w:rPr>
          <w:rFonts w:ascii="Arial" w:hAnsi="Arial" w:cs="Arial"/>
          <w:noProof/>
        </w:rPr>
        <w:t> </w:t>
      </w:r>
      <w:r>
        <w:rPr>
          <w:noProof/>
        </w:rPr>
        <w:t>0.52), while temperature showed broader variation (mean</w:t>
      </w:r>
      <w:r>
        <w:rPr>
          <w:rFonts w:ascii="Arial" w:hAnsi="Arial" w:cs="Arial"/>
          <w:noProof/>
        </w:rPr>
        <w:t> </w:t>
      </w:r>
      <w:r>
        <w:rPr>
          <w:noProof/>
        </w:rPr>
        <w:t>=</w:t>
      </w:r>
      <w:r>
        <w:rPr>
          <w:rFonts w:ascii="Arial" w:hAnsi="Arial" w:cs="Arial"/>
          <w:noProof/>
        </w:rPr>
        <w:t> </w:t>
      </w:r>
      <w:r>
        <w:rPr>
          <w:noProof/>
        </w:rPr>
        <w:t>17.6</w:t>
      </w:r>
      <w:r>
        <w:rPr>
          <w:rFonts w:ascii="Arial" w:hAnsi="Arial" w:cs="Arial"/>
          <w:noProof/>
        </w:rPr>
        <w:t> </w:t>
      </w:r>
      <w:r>
        <w:rPr>
          <w:rFonts w:ascii="Aptos" w:hAnsi="Aptos" w:cs="Aptos"/>
          <w:noProof/>
        </w:rPr>
        <w:t>°</w:t>
      </w:r>
      <w:r>
        <w:rPr>
          <w:noProof/>
        </w:rPr>
        <w:t>C, SD</w:t>
      </w:r>
      <w:r>
        <w:rPr>
          <w:rFonts w:ascii="Arial" w:hAnsi="Arial" w:cs="Arial"/>
          <w:noProof/>
        </w:rPr>
        <w:t> </w:t>
      </w:r>
      <w:r>
        <w:rPr>
          <w:noProof/>
        </w:rPr>
        <w:t>=</w:t>
      </w:r>
      <w:r>
        <w:rPr>
          <w:rFonts w:ascii="Arial" w:hAnsi="Arial" w:cs="Arial"/>
          <w:noProof/>
        </w:rPr>
        <w:t> </w:t>
      </w:r>
      <w:r>
        <w:rPr>
          <w:noProof/>
        </w:rPr>
        <w:t>9.65). Bacterial load analysis indicated similar concentrations between the two treatment plants, with mean log CFU values of 2.94 (SD</w:t>
      </w:r>
      <w:r>
        <w:rPr>
          <w:rFonts w:ascii="Arial" w:hAnsi="Arial" w:cs="Arial"/>
          <w:noProof/>
        </w:rPr>
        <w:t> </w:t>
      </w:r>
      <w:r>
        <w:rPr>
          <w:noProof/>
        </w:rPr>
        <w:t>=</w:t>
      </w:r>
      <w:r>
        <w:rPr>
          <w:rFonts w:ascii="Arial" w:hAnsi="Arial" w:cs="Arial"/>
          <w:noProof/>
        </w:rPr>
        <w:t> </w:t>
      </w:r>
      <w:r>
        <w:rPr>
          <w:noProof/>
        </w:rPr>
        <w:t>0.98) at WWTP A and 3.16 (SD</w:t>
      </w:r>
      <w:r>
        <w:rPr>
          <w:rFonts w:ascii="Arial" w:hAnsi="Arial" w:cs="Arial"/>
          <w:noProof/>
        </w:rPr>
        <w:t> </w:t>
      </w:r>
      <w:r>
        <w:rPr>
          <w:noProof/>
        </w:rPr>
        <w:t>=</w:t>
      </w:r>
      <w:r>
        <w:rPr>
          <w:rFonts w:ascii="Arial" w:hAnsi="Arial" w:cs="Arial"/>
          <w:noProof/>
        </w:rPr>
        <w:t> </w:t>
      </w:r>
      <w:r>
        <w:rPr>
          <w:noProof/>
        </w:rPr>
        <w:t>1.06) at WWTP B. Mean log bacterial concentrations varied by sample type, with values of 1.89 for effluent, 3.10 for influent, and 3.77 for sludge. The distribution of isolates differed significantly by sample type (χ² = 8.84, p = 0.012), indicating that the observed counts were not uniformly distributed across influent, effluent, and sludge samples. AST showed that all isolates were resistant only to amoxicillin–clavulanic acid.</w:t>
      </w:r>
    </w:p>
    <w:p w14:paraId="1B677582" w14:textId="77777777" w:rsidR="00D30923" w:rsidRDefault="00D30923" w:rsidP="00D30923">
      <w:pPr>
        <w:spacing w:after="0" w:line="240" w:lineRule="auto"/>
      </w:pPr>
      <w:r>
        <w:rPr>
          <w:noProof/>
        </w:rPr>
        <w:t>This study demonstrates that P. aeruginosa is consistently present within municipal wastewater treatment systems in Fayetteville, underscoring its persistence throughout the treatment process. These findings highlight wastewater as an environmental reservoir for AMR bacteria and reinforce the need for continued monitoring to support public health surveillance and mitigation efforts.</w:t>
      </w:r>
    </w:p>
    <w:p w14:paraId="6B13AEBA" w14:textId="54223A79" w:rsidR="00D30923" w:rsidRDefault="00FA2976" w:rsidP="00FA2976">
      <w:pPr>
        <w:jc w:val="center"/>
      </w:pPr>
      <w:hyperlink w:anchor="TableofContents" w:history="1">
        <w:r w:rsidRPr="45BF4E85">
          <w:rPr>
            <w:rStyle w:val="Hyperlink"/>
            <w:rFonts w:ascii="Calibri" w:hAnsi="Calibri" w:cs="Calibri"/>
            <w:b/>
            <w:bCs/>
            <w:kern w:val="0"/>
            <w:sz w:val="22"/>
            <w:szCs w:val="22"/>
          </w:rPr>
          <w:t>Return to Table of Contents</w:t>
        </w:r>
      </w:hyperlink>
    </w:p>
    <w:p w14:paraId="0C0D798B" w14:textId="77777777" w:rsidR="009972D2" w:rsidRPr="00FA2976" w:rsidRDefault="009972D2" w:rsidP="00FA2976">
      <w:pPr>
        <w:jc w:val="center"/>
        <w:rPr>
          <w:rFonts w:ascii="Calibri" w:hAnsi="Calibri" w:cs="Calibri"/>
          <w:b/>
          <w:bCs/>
          <w:color w:val="000000"/>
          <w:kern w:val="0"/>
          <w:sz w:val="22"/>
          <w:szCs w:val="22"/>
        </w:rPr>
      </w:pPr>
    </w:p>
    <w:p w14:paraId="6D22FFBE"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P-3</w:t>
      </w:r>
      <w:r>
        <w:rPr>
          <w:b/>
          <w:bCs/>
          <w:sz w:val="26"/>
          <w:szCs w:val="26"/>
        </w:rPr>
        <w:t xml:space="preserve"> </w:t>
      </w:r>
    </w:p>
    <w:p w14:paraId="72BA04B2" w14:textId="77777777" w:rsidR="00D30923" w:rsidRPr="00971952" w:rsidRDefault="00D30923" w:rsidP="00D30923">
      <w:pPr>
        <w:spacing w:after="0"/>
        <w:jc w:val="center"/>
        <w:rPr>
          <w:b/>
          <w:bCs/>
          <w:sz w:val="26"/>
          <w:szCs w:val="26"/>
        </w:rPr>
      </w:pPr>
      <w:r w:rsidRPr="0092723F">
        <w:rPr>
          <w:b/>
          <w:bCs/>
          <w:noProof/>
          <w:sz w:val="26"/>
          <w:szCs w:val="26"/>
        </w:rPr>
        <w:t>Is severe weather intensifying with regional warming? A statistical and root</w:t>
      </w:r>
      <w:r w:rsidRPr="0092723F">
        <w:rPr>
          <w:rFonts w:ascii="Cambria Math" w:hAnsi="Cambria Math" w:cs="Cambria Math"/>
          <w:b/>
          <w:bCs/>
          <w:noProof/>
          <w:sz w:val="26"/>
          <w:szCs w:val="26"/>
        </w:rPr>
        <w:t>‑</w:t>
      </w:r>
      <w:r w:rsidRPr="0092723F">
        <w:rPr>
          <w:b/>
          <w:bCs/>
          <w:noProof/>
          <w:sz w:val="26"/>
          <w:szCs w:val="26"/>
        </w:rPr>
        <w:t>cause analysis of temperature and tornado trends in the Southeast and Tornado Alley</w:t>
      </w:r>
    </w:p>
    <w:p w14:paraId="6553176C" w14:textId="77777777" w:rsidR="00D30923" w:rsidRDefault="00D30923" w:rsidP="00D30923">
      <w:pPr>
        <w:spacing w:after="0" w:line="240" w:lineRule="auto"/>
        <w:jc w:val="center"/>
      </w:pPr>
      <w:r>
        <w:rPr>
          <w:noProof/>
        </w:rPr>
        <w:t>Ashley Harper</w:t>
      </w:r>
    </w:p>
    <w:p w14:paraId="3FB686B1" w14:textId="77777777" w:rsidR="00D30923" w:rsidRDefault="00D30923" w:rsidP="00D30923">
      <w:pPr>
        <w:spacing w:after="0" w:line="240" w:lineRule="auto"/>
        <w:jc w:val="center"/>
      </w:pPr>
      <w:r>
        <w:rPr>
          <w:noProof/>
        </w:rPr>
        <w:t>Campbell University</w:t>
      </w:r>
    </w:p>
    <w:p w14:paraId="585A02D3" w14:textId="77777777" w:rsidR="00D30923" w:rsidRDefault="00D30923" w:rsidP="00D30923">
      <w:pPr>
        <w:spacing w:after="0" w:line="240" w:lineRule="auto"/>
        <w:jc w:val="center"/>
      </w:pPr>
    </w:p>
    <w:p w14:paraId="102B4048" w14:textId="77777777" w:rsidR="00D30923" w:rsidRDefault="00D30923" w:rsidP="00D30923">
      <w:pPr>
        <w:spacing w:after="0" w:line="240" w:lineRule="auto"/>
      </w:pPr>
      <w:r>
        <w:rPr>
          <w:noProof/>
        </w:rPr>
        <w:t>This study investigates whether regional temperature changes between 2024 and 2025 correspond with differences in tornado activity across two contrasting regions: the Southeast and Tornado Alley. Using NOAA temperature records and tornado reports from the Storm Prediction Center, the project compares North Carolina and Oklahoma as representative states. These regions experience severe weather for different reasons—Oklahoma’s tornadoes are typically driven by classic spring supercells, while the Southeast often sees cool</w:t>
      </w:r>
      <w:r>
        <w:rPr>
          <w:rFonts w:ascii="Cambria Math" w:hAnsi="Cambria Math" w:cs="Cambria Math"/>
          <w:noProof/>
        </w:rPr>
        <w:t>‑</w:t>
      </w:r>
      <w:r>
        <w:rPr>
          <w:noProof/>
        </w:rPr>
        <w:t>season and nighttime tornadoes influenced by tropical moisture and jet</w:t>
      </w:r>
      <w:r>
        <w:rPr>
          <w:rFonts w:ascii="Cambria Math" w:hAnsi="Cambria Math" w:cs="Cambria Math"/>
          <w:noProof/>
        </w:rPr>
        <w:t>‑</w:t>
      </w:r>
      <w:r>
        <w:rPr>
          <w:noProof/>
        </w:rPr>
        <w:t>stream dynamics. The analysis includes monthly and annual temperature averages, tornado counts, and the timing of tornado events. A root</w:t>
      </w:r>
      <w:r>
        <w:rPr>
          <w:rFonts w:ascii="Cambria Math" w:hAnsi="Cambria Math" w:cs="Cambria Math"/>
          <w:noProof/>
        </w:rPr>
        <w:t>‑</w:t>
      </w:r>
      <w:r>
        <w:rPr>
          <w:noProof/>
        </w:rPr>
        <w:t>cause framework is used to explore how broader climate factors</w:t>
      </w:r>
      <w:r>
        <w:rPr>
          <w:rFonts w:ascii="Aptos" w:hAnsi="Aptos" w:cs="Aptos"/>
          <w:noProof/>
        </w:rPr>
        <w:t>—</w:t>
      </w:r>
      <w:r>
        <w:rPr>
          <w:noProof/>
        </w:rPr>
        <w:t>such as regional warming patterns, moisture availability, and seasonal storm setups</w:t>
      </w:r>
      <w:r>
        <w:rPr>
          <w:rFonts w:ascii="Aptos" w:hAnsi="Aptos" w:cs="Aptos"/>
          <w:noProof/>
        </w:rPr>
        <w:t>—</w:t>
      </w:r>
      <w:r>
        <w:rPr>
          <w:noProof/>
        </w:rPr>
        <w:t>may shape severe weather behavior. This poster aims to determine whether short</w:t>
      </w:r>
      <w:r>
        <w:rPr>
          <w:rFonts w:ascii="Cambria Math" w:hAnsi="Cambria Math" w:cs="Cambria Math"/>
          <w:noProof/>
        </w:rPr>
        <w:t>‑</w:t>
      </w:r>
      <w:r>
        <w:rPr>
          <w:noProof/>
        </w:rPr>
        <w:t>term warming aligns with shifts in tornado frequency or timing and to identify the climate mechanisms that could explain emerging regional differences.</w:t>
      </w:r>
    </w:p>
    <w:p w14:paraId="664DC5A6" w14:textId="72403960" w:rsidR="00D30923" w:rsidRDefault="00FA2976" w:rsidP="00FA2976">
      <w:pPr>
        <w:jc w:val="center"/>
      </w:pPr>
      <w:hyperlink w:anchor="TableofContents" w:history="1">
        <w:r w:rsidRPr="45BF4E85">
          <w:rPr>
            <w:rStyle w:val="Hyperlink"/>
            <w:rFonts w:ascii="Calibri" w:hAnsi="Calibri" w:cs="Calibri"/>
            <w:b/>
            <w:bCs/>
            <w:kern w:val="0"/>
            <w:sz w:val="22"/>
            <w:szCs w:val="22"/>
          </w:rPr>
          <w:t>Return to Table of Contents</w:t>
        </w:r>
      </w:hyperlink>
    </w:p>
    <w:p w14:paraId="50A453AF"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w:t>
      </w:r>
      <w:r>
        <w:rPr>
          <w:b/>
          <w:bCs/>
          <w:sz w:val="26"/>
          <w:szCs w:val="26"/>
        </w:rPr>
        <w:t xml:space="preserve"> </w:t>
      </w:r>
    </w:p>
    <w:p w14:paraId="4B2B4D5F" w14:textId="77777777" w:rsidR="00D30923" w:rsidRPr="00971952" w:rsidRDefault="00D30923" w:rsidP="00D30923">
      <w:pPr>
        <w:spacing w:after="0"/>
        <w:jc w:val="center"/>
        <w:rPr>
          <w:b/>
          <w:bCs/>
          <w:sz w:val="26"/>
          <w:szCs w:val="26"/>
        </w:rPr>
      </w:pPr>
      <w:r w:rsidRPr="0092723F">
        <w:rPr>
          <w:b/>
          <w:bCs/>
          <w:noProof/>
          <w:sz w:val="26"/>
          <w:szCs w:val="26"/>
        </w:rPr>
        <w:t>Understanding the diets of invasive asian needle ants and their impact on longleaf pine savannas</w:t>
      </w:r>
    </w:p>
    <w:p w14:paraId="57440576" w14:textId="77777777" w:rsidR="00D30923" w:rsidRDefault="00D30923" w:rsidP="00D30923">
      <w:pPr>
        <w:spacing w:after="0" w:line="240" w:lineRule="auto"/>
        <w:jc w:val="center"/>
      </w:pPr>
      <w:r>
        <w:rPr>
          <w:noProof/>
        </w:rPr>
        <w:t>Capino, Arabella*, Kaitlin Campbell, Lisa Kelly</w:t>
      </w:r>
    </w:p>
    <w:p w14:paraId="67925270" w14:textId="77777777" w:rsidR="00D30923" w:rsidRDefault="00D30923" w:rsidP="00D30923">
      <w:pPr>
        <w:spacing w:after="0" w:line="240" w:lineRule="auto"/>
        <w:jc w:val="center"/>
      </w:pPr>
      <w:r>
        <w:rPr>
          <w:noProof/>
        </w:rPr>
        <w:t>University of North Carolina at Pembroke</w:t>
      </w:r>
    </w:p>
    <w:p w14:paraId="737172F8" w14:textId="77777777" w:rsidR="00D30923" w:rsidRDefault="00D30923" w:rsidP="00D30923">
      <w:pPr>
        <w:spacing w:after="0" w:line="240" w:lineRule="auto"/>
        <w:jc w:val="center"/>
      </w:pPr>
    </w:p>
    <w:p w14:paraId="62547D97" w14:textId="77777777" w:rsidR="00D30923" w:rsidRDefault="00D30923" w:rsidP="00D30923">
      <w:pPr>
        <w:spacing w:after="0" w:line="240" w:lineRule="auto"/>
      </w:pPr>
      <w:r>
        <w:rPr>
          <w:noProof/>
        </w:rPr>
        <w:t xml:space="preserve">Asian needle ants (Brachyponera chinensis) have been historically known to have a diet of termites, but it has been recently discovered that they have a broader diet. To determine whether they have a diet that also consists of plant foods, we will be analyzing their consumed DNA. It is well-documented that many ant species, including invasive ants, consume plant material directly, or they may prey on or have mutualisms with sap-feeding hemipteran insects. To cleanse them of any external DNA, we will bleach the bodies of Asian needle ants that were collected from study sites in biodiverse longleaf pine savannas in 2023. The ants will have their DNA extracted via a commercial extraction kit, and primers will be applied to amplify the ITS2 gene. The DNA amplicons will be sent off to a third-party laboratory for Sanger sequencing, and the NCBI BLAST database will be used to see if the nucleotide sequences match any plant DNA. This planned project may be the first to attempt to analyze the diets of Asian needle ants through DNA or molecular analysis. This </w:t>
      </w:r>
      <w:r>
        <w:rPr>
          <w:noProof/>
        </w:rPr>
        <w:lastRenderedPageBreak/>
        <w:t>study will give a better understanding of the diet of Asian needle ants and, potentially, how they might affect the flora and fauna of longleaf pine savannas.</w:t>
      </w:r>
    </w:p>
    <w:p w14:paraId="5E630077" w14:textId="51115A74" w:rsidR="00D30923" w:rsidRPr="00FA2976" w:rsidRDefault="00FA2976" w:rsidP="00FA2976">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715C3AD"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w:t>
      </w:r>
      <w:r>
        <w:rPr>
          <w:b/>
          <w:bCs/>
          <w:sz w:val="26"/>
          <w:szCs w:val="26"/>
        </w:rPr>
        <w:t xml:space="preserve"> </w:t>
      </w:r>
    </w:p>
    <w:p w14:paraId="390093A6" w14:textId="77777777" w:rsidR="00D30923" w:rsidRPr="00971952" w:rsidRDefault="00D30923" w:rsidP="00D30923">
      <w:pPr>
        <w:spacing w:after="0"/>
        <w:jc w:val="center"/>
        <w:rPr>
          <w:b/>
          <w:bCs/>
          <w:sz w:val="26"/>
          <w:szCs w:val="26"/>
        </w:rPr>
      </w:pPr>
      <w:r w:rsidRPr="0092723F">
        <w:rPr>
          <w:b/>
          <w:bCs/>
          <w:noProof/>
          <w:sz w:val="26"/>
          <w:szCs w:val="26"/>
        </w:rPr>
        <w:t xml:space="preserve">Salinity-induced photoprotection in </w:t>
      </w:r>
      <w:r w:rsidRPr="00A80E99">
        <w:rPr>
          <w:b/>
          <w:bCs/>
          <w:i/>
          <w:iCs/>
          <w:noProof/>
          <w:sz w:val="26"/>
          <w:szCs w:val="26"/>
        </w:rPr>
        <w:t>Juncus roemerianus</w:t>
      </w:r>
      <w:r w:rsidRPr="0092723F">
        <w:rPr>
          <w:b/>
          <w:bCs/>
          <w:noProof/>
          <w:sz w:val="26"/>
          <w:szCs w:val="26"/>
        </w:rPr>
        <w:t xml:space="preserve"> during drought recovery</w:t>
      </w:r>
    </w:p>
    <w:p w14:paraId="662D0BF0" w14:textId="77777777" w:rsidR="00D30923" w:rsidRDefault="00D30923" w:rsidP="00D30923">
      <w:pPr>
        <w:spacing w:after="0" w:line="240" w:lineRule="auto"/>
        <w:jc w:val="center"/>
      </w:pPr>
      <w:r>
        <w:rPr>
          <w:noProof/>
        </w:rPr>
        <w:t>Cashen, Emily*, Livia Lampal, Spencer Plut, Brant Touchette</w:t>
      </w:r>
    </w:p>
    <w:p w14:paraId="692FDEB6" w14:textId="77777777" w:rsidR="00D30923" w:rsidRDefault="00D30923" w:rsidP="00D30923">
      <w:pPr>
        <w:spacing w:after="0" w:line="240" w:lineRule="auto"/>
        <w:jc w:val="center"/>
      </w:pPr>
      <w:r>
        <w:rPr>
          <w:noProof/>
        </w:rPr>
        <w:t>Elon University</w:t>
      </w:r>
    </w:p>
    <w:p w14:paraId="6C7FD4DD" w14:textId="77777777" w:rsidR="00D30923" w:rsidRDefault="00D30923" w:rsidP="00D30923">
      <w:pPr>
        <w:spacing w:after="0" w:line="240" w:lineRule="auto"/>
        <w:jc w:val="center"/>
      </w:pPr>
    </w:p>
    <w:p w14:paraId="7F161FF0" w14:textId="77777777" w:rsidR="00D30923" w:rsidRDefault="00D30923" w:rsidP="00D30923">
      <w:pPr>
        <w:spacing w:after="0" w:line="240" w:lineRule="auto"/>
      </w:pPr>
      <w:r>
        <w:rPr>
          <w:noProof/>
        </w:rPr>
        <w:t>Non-invasive tools such as chlorophyll a fluorometry can be useful in measuring plant physiological status and viability during extended periods of environmental stress. In this study, we used chlorophyll a fluorometry to evaluate potential quantum yield (Fv/Fm), effective quantum yield (ΔF/Fm’), and performance index (PIabs) during a 3- and 6-wk simulated drought on the emergent macrophyte Juncus roemerianus.  Plants were grown in experimental microcosms and allowed to acclimate in freshwater for 12-wks prior to initiating drought treatments (n=5). Treatments included continuous freshwater (control; FC), freshwater followed by saltwater at 6-wks (30 psu; salt control; SC), 3-wk drought followed by freshwater reintroduction (F3W), 6-wk drought followed by freshwater reintroduction (F6w), 3-wk drought followed by saltwater rehydration (S3W), and 6-wk drought followed by saltwater rehydration (S6W). The results indicate that decreases in quantum yield (both Fv/Fm and ΔF/Fm’) can occur within 2- to 3-wks of drought onset. During short periods of water deprivation (3-wks), plants rehydrated with saline waters maintained comparatively higher quantum yields than plants receiving freshwater, suggesting environmental salts may offer some osmotic/physiological benefit to these plants. There were also significant declines in  PIabs  (for all treatments) towards the end of the simulated drought that may be attributed to elevated greenhouse temperatures. Overall, the data suggest that drought does diminish photosynthetic efficiency in J. roemerianus and that these plants may recover faster when environmental salts are available.</w:t>
      </w:r>
      <w:r>
        <w:rPr>
          <w:rFonts w:ascii="Arial" w:hAnsi="Arial" w:cs="Arial"/>
          <w:noProof/>
        </w:rPr>
        <w:t>​</w:t>
      </w:r>
    </w:p>
    <w:p w14:paraId="0ED42B8F" w14:textId="5D0FDBE5" w:rsidR="00D30923" w:rsidRPr="00FA2976" w:rsidRDefault="00FA2976" w:rsidP="00FA2976">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C97B9AE"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w:t>
      </w:r>
      <w:r>
        <w:rPr>
          <w:b/>
          <w:bCs/>
          <w:sz w:val="26"/>
          <w:szCs w:val="26"/>
        </w:rPr>
        <w:t xml:space="preserve"> </w:t>
      </w:r>
    </w:p>
    <w:p w14:paraId="63BB32E8" w14:textId="77777777" w:rsidR="00D30923" w:rsidRPr="00971952" w:rsidRDefault="00D30923" w:rsidP="00D30923">
      <w:pPr>
        <w:spacing w:after="0"/>
        <w:jc w:val="center"/>
        <w:rPr>
          <w:b/>
          <w:bCs/>
          <w:sz w:val="26"/>
          <w:szCs w:val="26"/>
        </w:rPr>
      </w:pPr>
      <w:r w:rsidRPr="0092723F">
        <w:rPr>
          <w:b/>
          <w:bCs/>
          <w:noProof/>
          <w:sz w:val="26"/>
          <w:szCs w:val="26"/>
        </w:rPr>
        <w:t>Evaluating the impacts of invasive ants and environmental disturbances in longleaf pine savannas</w:t>
      </w:r>
    </w:p>
    <w:p w14:paraId="1F9CE14C" w14:textId="77777777" w:rsidR="00D30923" w:rsidRDefault="00D30923" w:rsidP="00D30923">
      <w:pPr>
        <w:spacing w:after="0" w:line="240" w:lineRule="auto"/>
        <w:jc w:val="center"/>
      </w:pPr>
      <w:r>
        <w:rPr>
          <w:noProof/>
        </w:rPr>
        <w:t>Hartman, Aaron*, Lisa Kelly, Kaitlin U. Campbell</w:t>
      </w:r>
    </w:p>
    <w:p w14:paraId="607BF37A" w14:textId="77777777" w:rsidR="00D30923" w:rsidRDefault="00D30923" w:rsidP="00D30923">
      <w:pPr>
        <w:spacing w:after="0" w:line="240" w:lineRule="auto"/>
        <w:jc w:val="center"/>
      </w:pPr>
      <w:r>
        <w:rPr>
          <w:noProof/>
        </w:rPr>
        <w:t>University of North Carolina at Pembroke</w:t>
      </w:r>
    </w:p>
    <w:p w14:paraId="0E388B7B" w14:textId="77777777" w:rsidR="00D30923" w:rsidRDefault="00D30923" w:rsidP="00D30923">
      <w:pPr>
        <w:spacing w:after="0" w:line="240" w:lineRule="auto"/>
        <w:jc w:val="center"/>
      </w:pPr>
    </w:p>
    <w:p w14:paraId="2A4BA056" w14:textId="77777777" w:rsidR="00D30923" w:rsidRDefault="00D30923" w:rsidP="00D30923">
      <w:pPr>
        <w:spacing w:after="0" w:line="240" w:lineRule="auto"/>
      </w:pPr>
      <w:r>
        <w:rPr>
          <w:noProof/>
        </w:rPr>
        <w:t xml:space="preserve">Longleaf pine savannas are diminished but important habitats for biodiversity. Studying the composition of the ant fauna over time provides insights into habitat quality and biotic interactions. We examined the ant fauna at three different savannas located in areas for conservation, habitat restoration, and game lands. The native ants appear to be suppressed by invasive ants, particularly Brachyponera chinensis (Asian needle ant). We </w:t>
      </w:r>
      <w:r>
        <w:rPr>
          <w:noProof/>
        </w:rPr>
        <w:lastRenderedPageBreak/>
        <w:t>hypothesize that B. chinensis also outcompetes other invasives, such as Solenopsis invicta (red imported fire ant). We used pitfall traps to sample the ant fauna periodically over five years and enumerated S. invicta colonies to determine their presence and density. The ant communities of our sites generally declined in richness and abundance as greater amounts of B. chinensis were found. Recently, this pattern was seemingly interrupted by drought and prescribed burns, indicating ancillary environmental influences upon community composition. Continued examination of the ant fauna is advantageous for assessing habitat health and informing management practices.</w:t>
      </w:r>
    </w:p>
    <w:p w14:paraId="7BA9C62F" w14:textId="77777777" w:rsidR="00FA2976" w:rsidRPr="00C13D2E" w:rsidRDefault="00FA2976" w:rsidP="00FA2976">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2EC1CE4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P-7</w:t>
      </w:r>
      <w:r>
        <w:rPr>
          <w:b/>
          <w:bCs/>
          <w:sz w:val="26"/>
          <w:szCs w:val="26"/>
        </w:rPr>
        <w:t xml:space="preserve"> </w:t>
      </w:r>
    </w:p>
    <w:p w14:paraId="5C12F72B" w14:textId="77777777" w:rsidR="00D30923" w:rsidRPr="00971952" w:rsidRDefault="00D30923" w:rsidP="00D30923">
      <w:pPr>
        <w:spacing w:after="0"/>
        <w:jc w:val="center"/>
        <w:rPr>
          <w:b/>
          <w:bCs/>
          <w:sz w:val="26"/>
          <w:szCs w:val="26"/>
        </w:rPr>
      </w:pPr>
      <w:r w:rsidRPr="0092723F">
        <w:rPr>
          <w:b/>
          <w:bCs/>
          <w:noProof/>
          <w:sz w:val="26"/>
          <w:szCs w:val="26"/>
        </w:rPr>
        <w:t>HelioPure: A Multi-Stage Photocatalytic–Ion Exchange–Adsorptive Device for Decentralized Surface Water Treatment</w:t>
      </w:r>
    </w:p>
    <w:p w14:paraId="5EA11F1C" w14:textId="77777777" w:rsidR="00D30923" w:rsidRDefault="00D30923" w:rsidP="00D30923">
      <w:pPr>
        <w:spacing w:after="0" w:line="240" w:lineRule="auto"/>
        <w:jc w:val="center"/>
      </w:pPr>
      <w:r>
        <w:rPr>
          <w:noProof/>
        </w:rPr>
        <w:t>Krishna, Aadit*</w:t>
      </w:r>
    </w:p>
    <w:p w14:paraId="663363FD" w14:textId="77777777" w:rsidR="00D30923" w:rsidRDefault="00D30923" w:rsidP="00D30923">
      <w:pPr>
        <w:spacing w:after="0" w:line="240" w:lineRule="auto"/>
        <w:jc w:val="center"/>
      </w:pPr>
      <w:r>
        <w:rPr>
          <w:noProof/>
        </w:rPr>
        <w:t>North Carolina Student Academy of Sciences, Central Academy of Technology and Arts</w:t>
      </w:r>
    </w:p>
    <w:p w14:paraId="5C8FD38D" w14:textId="77777777" w:rsidR="00D30923" w:rsidRDefault="00D30923" w:rsidP="00D30923">
      <w:pPr>
        <w:spacing w:after="0" w:line="240" w:lineRule="auto"/>
        <w:jc w:val="center"/>
      </w:pPr>
    </w:p>
    <w:p w14:paraId="14B39E9E" w14:textId="77777777" w:rsidR="00D30923" w:rsidRDefault="00D30923" w:rsidP="00D30923">
      <w:pPr>
        <w:spacing w:after="0" w:line="240" w:lineRule="auto"/>
      </w:pPr>
      <w:r>
        <w:rPr>
          <w:noProof/>
        </w:rPr>
        <w:t>Access to safe drinking water remains one of the most urgent global challenges, particularly in decentralized and disaster-prone regions such as my family’s village in Tirunelveli, India, where untreated surface water exposes communities to persistent chemical contamination. Over 2.2 billion people lack safely managed drinking water due largely to infrastructure limitations. This research presents HelioPure, a floating, solar-powered, multi-stage purification system engineered for autonomous operation without grid electricity, chemical dosing, or external pressure. The platform integrates immobilized anatase titanium dioxide (TiO₂) photocatalysis, strong-base anion exchange resin, granular activated carbon (GAC), and fine filtration within a compact, modular architecture. ~20 nm TiO₂ nanoparticles were immobilized onto glass substrates using a low-cost epoxy matrix to prevent leaching while enabling solar-driven reactive oxygen species generation under natural UV irradiation. A thin-film, angled flow geometry maximized catalyst–water contact under passive hydraulic conditions. Field testing under winter sunlight across three independent trials demonstrated a 78.4% ± 2.1% turbidity reduction and a 50.1% ± 1.9% TDS reduction, outperforming a GAC-only control by 15–22% (p &lt; 0.05). Following resin integration, PFAS concentrations decreased from 54–63 ppt to 7–11 ppt, corresponding to an average 84.8% reduction, and tests show stable pH. HelioPure combines oxidative pretreatment with selective electrostatic capture in a floating, energy-independent system, which bridges the gap between laboratory-scale photocatalysis research and deployable, contaminant-adaptive water treatment for infrastructure-limited environments.</w:t>
      </w:r>
    </w:p>
    <w:p w14:paraId="49D8D76F" w14:textId="024BA2A8" w:rsidR="00D30923" w:rsidRDefault="00FA2976" w:rsidP="00FA2976">
      <w:pPr>
        <w:jc w:val="center"/>
      </w:pPr>
      <w:hyperlink w:anchor="TableofContents" w:history="1">
        <w:r w:rsidRPr="45BF4E85">
          <w:rPr>
            <w:rStyle w:val="Hyperlink"/>
            <w:rFonts w:ascii="Calibri" w:hAnsi="Calibri" w:cs="Calibri"/>
            <w:b/>
            <w:bCs/>
            <w:kern w:val="0"/>
            <w:sz w:val="22"/>
            <w:szCs w:val="22"/>
          </w:rPr>
          <w:t>Return to Table of Contents</w:t>
        </w:r>
      </w:hyperlink>
    </w:p>
    <w:p w14:paraId="15447BD9" w14:textId="77777777" w:rsidR="00561843" w:rsidRDefault="00561843" w:rsidP="00FA2976">
      <w:pPr>
        <w:jc w:val="center"/>
      </w:pPr>
    </w:p>
    <w:p w14:paraId="38388A0F" w14:textId="77777777" w:rsidR="00561843" w:rsidRDefault="00561843" w:rsidP="00FA2976">
      <w:pPr>
        <w:jc w:val="center"/>
      </w:pPr>
    </w:p>
    <w:p w14:paraId="070BC67D" w14:textId="77777777" w:rsidR="00561843" w:rsidRDefault="00561843" w:rsidP="00FA2976">
      <w:pPr>
        <w:jc w:val="center"/>
      </w:pPr>
    </w:p>
    <w:p w14:paraId="12464E8E" w14:textId="77777777" w:rsidR="00561843" w:rsidRDefault="00561843" w:rsidP="00FA2976">
      <w:pPr>
        <w:jc w:val="center"/>
      </w:pPr>
    </w:p>
    <w:p w14:paraId="1ECD9478"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P-8</w:t>
      </w:r>
      <w:r>
        <w:rPr>
          <w:b/>
          <w:bCs/>
          <w:sz w:val="26"/>
          <w:szCs w:val="26"/>
        </w:rPr>
        <w:t xml:space="preserve"> </w:t>
      </w:r>
    </w:p>
    <w:p w14:paraId="4FC57C96" w14:textId="77777777" w:rsidR="00D30923" w:rsidRPr="00971952" w:rsidRDefault="00D30923" w:rsidP="00D30923">
      <w:pPr>
        <w:spacing w:after="0"/>
        <w:jc w:val="center"/>
        <w:rPr>
          <w:b/>
          <w:bCs/>
          <w:sz w:val="26"/>
          <w:szCs w:val="26"/>
        </w:rPr>
      </w:pPr>
      <w:r w:rsidRPr="0092723F">
        <w:rPr>
          <w:b/>
          <w:bCs/>
          <w:noProof/>
          <w:sz w:val="26"/>
          <w:szCs w:val="26"/>
        </w:rPr>
        <w:t>What’s Left Behind: Tracking Litter in the Lumber River</w:t>
      </w:r>
    </w:p>
    <w:p w14:paraId="66495AC9" w14:textId="77777777" w:rsidR="00D30923" w:rsidRDefault="00D30923" w:rsidP="00D30923">
      <w:pPr>
        <w:spacing w:after="0" w:line="240" w:lineRule="auto"/>
        <w:jc w:val="center"/>
      </w:pPr>
      <w:r>
        <w:rPr>
          <w:noProof/>
        </w:rPr>
        <w:t>Matthews, Lillian, Jerry Griffith*</w:t>
      </w:r>
    </w:p>
    <w:p w14:paraId="272CB81F" w14:textId="77777777" w:rsidR="00D30923" w:rsidRDefault="00D30923" w:rsidP="00D30923">
      <w:pPr>
        <w:spacing w:after="0" w:line="240" w:lineRule="auto"/>
        <w:jc w:val="center"/>
      </w:pPr>
      <w:r>
        <w:rPr>
          <w:noProof/>
        </w:rPr>
        <w:t>Lillian Matthews, Department of Earth, Environmental and Geographical Sciences, University of North Carolina at Charlotte; Jerry Griffith, Department of Geology &amp; Geography, University of North Carolina at Pembroke</w:t>
      </w:r>
    </w:p>
    <w:p w14:paraId="79A054B3" w14:textId="77777777" w:rsidR="00D30923" w:rsidRDefault="00D30923" w:rsidP="00D30923">
      <w:pPr>
        <w:spacing w:after="0" w:line="240" w:lineRule="auto"/>
        <w:jc w:val="center"/>
      </w:pPr>
    </w:p>
    <w:p w14:paraId="16DE5642" w14:textId="77777777" w:rsidR="00D30923" w:rsidRDefault="00D30923" w:rsidP="00D30923">
      <w:pPr>
        <w:spacing w:after="0" w:line="240" w:lineRule="auto"/>
        <w:rPr>
          <w:noProof/>
        </w:rPr>
      </w:pPr>
      <w:r>
        <w:rPr>
          <w:noProof/>
        </w:rPr>
        <w:t>Plastic and other anthropogenic litter are growing threats to freshwater ecosystems. The Lumber River in southeastern North Carolina, designated as a National Wild and Scenic River, provides important ecological, recreational, and cultural benefits but is increasingly impacted by human-generated waste. This study examined the composition of litter collected from the McNeil’s Bridge boat access area on the Lumber River in Robeson County, North Carolina. Trash was collected by student volunteers on October 19, 2024, and cataloged using the TrashBlitz mobile application. Collected materials were sorted by type and compared with national litter datasets from the 5 Gyres TrashBlitz program. Results indicate that plastic was the most common material, accounting for approximately one-third of collected debris, followed by metal and paper products. Frequently observed items included polystyrene foam, plastic utensils, aluminum cans, and packaging materials. Tobacco-related litter and glass bottles were also common and represent potential sources of toxic compounds and environmental contamination. Although trends in litter composition were broadly similar to national data, the relative proportions differed, potentially reflecting site accessibility and data collection limitations. These findings highlight the importance of community-based monitoring and citizen science efforts in documenting pollution patterns and supporting conservation strategies for the Lumber River.</w:t>
      </w:r>
    </w:p>
    <w:p w14:paraId="6A9FE5EF" w14:textId="42D8CCD1" w:rsidR="00D30923" w:rsidRDefault="00FA2976" w:rsidP="00FA2976">
      <w:pPr>
        <w:jc w:val="center"/>
      </w:pPr>
      <w:hyperlink w:anchor="TableofContents" w:history="1">
        <w:r w:rsidRPr="45BF4E85">
          <w:rPr>
            <w:rStyle w:val="Hyperlink"/>
            <w:rFonts w:ascii="Calibri" w:hAnsi="Calibri" w:cs="Calibri"/>
            <w:b/>
            <w:bCs/>
            <w:kern w:val="0"/>
            <w:sz w:val="22"/>
            <w:szCs w:val="22"/>
          </w:rPr>
          <w:t>Return to Table of Contents</w:t>
        </w:r>
      </w:hyperlink>
    </w:p>
    <w:p w14:paraId="1344F85D"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P-9</w:t>
      </w:r>
      <w:r>
        <w:rPr>
          <w:b/>
          <w:bCs/>
          <w:sz w:val="26"/>
          <w:szCs w:val="26"/>
        </w:rPr>
        <w:t xml:space="preserve"> </w:t>
      </w:r>
    </w:p>
    <w:p w14:paraId="57F8C8E6" w14:textId="77777777" w:rsidR="00D30923" w:rsidRPr="00971952" w:rsidRDefault="00D30923" w:rsidP="00D30923">
      <w:pPr>
        <w:spacing w:after="0"/>
        <w:jc w:val="center"/>
        <w:rPr>
          <w:b/>
          <w:bCs/>
          <w:sz w:val="26"/>
          <w:szCs w:val="26"/>
        </w:rPr>
      </w:pPr>
      <w:r w:rsidRPr="0092723F">
        <w:rPr>
          <w:b/>
          <w:bCs/>
          <w:noProof/>
          <w:sz w:val="26"/>
          <w:szCs w:val="26"/>
        </w:rPr>
        <w:t>Historic earthwork management and soil quality at New Bern Battlefield Park</w:t>
      </w:r>
    </w:p>
    <w:p w14:paraId="7E3FF379" w14:textId="77777777" w:rsidR="00D30923" w:rsidRDefault="00D30923" w:rsidP="00D30923">
      <w:pPr>
        <w:spacing w:after="0" w:line="240" w:lineRule="auto"/>
        <w:jc w:val="center"/>
      </w:pPr>
      <w:r>
        <w:rPr>
          <w:noProof/>
        </w:rPr>
        <w:t>Menser, Eliza*, Bethany Brinkman</w:t>
      </w:r>
    </w:p>
    <w:p w14:paraId="766C5394" w14:textId="77777777" w:rsidR="00D30923" w:rsidRDefault="00D30923" w:rsidP="00D30923">
      <w:pPr>
        <w:spacing w:after="0" w:line="240" w:lineRule="auto"/>
        <w:jc w:val="center"/>
      </w:pPr>
      <w:r>
        <w:rPr>
          <w:noProof/>
        </w:rPr>
        <w:t>Elon University, Elon University</w:t>
      </w:r>
    </w:p>
    <w:p w14:paraId="34CF40E3" w14:textId="77777777" w:rsidR="00D30923" w:rsidRDefault="00D30923" w:rsidP="00D30923">
      <w:pPr>
        <w:spacing w:after="0" w:line="240" w:lineRule="auto"/>
        <w:jc w:val="center"/>
      </w:pPr>
    </w:p>
    <w:p w14:paraId="35A247B6" w14:textId="56D25C0C" w:rsidR="0025560A" w:rsidRDefault="00D30923" w:rsidP="00D30923">
      <w:pPr>
        <w:spacing w:after="0" w:line="240" w:lineRule="auto"/>
        <w:rPr>
          <w:noProof/>
        </w:rPr>
      </w:pPr>
      <w:r>
        <w:rPr>
          <w:noProof/>
        </w:rPr>
        <w:t xml:space="preserve">Efforts to preserve historic earthworks at American Civil War sites may be compromised when management practices do not actively respect soil stability. In response, this study investigates the relationship between earthwork management practices, soil disturbance levels, and soil quality at New Bern Battlefield Park (NBBP) in New Bern, North Carolina. Four primary soil functions and nineteen associated indicators are organized within a modified soil quality index (SQI) adapted from Davidson and Wilson (2006) and Lenka and colleagues (2022). The SQI translates disparate indicator values into a unitless soil quality score ranging from 0 to 1. Soil samples (n = 39) collected from the earthworks, adjacent forest floor, and dominant soil groups across NBBP yielded a comprehensive SQI score of 0.693, demonstrating moderate to high soil quality. Individual SQI scores ranged from 0.496 to 0.840. Based on results from Welch’s test (p &lt; .05, p = .004) and the Pearson correlation </w:t>
      </w:r>
      <w:r>
        <w:rPr>
          <w:noProof/>
        </w:rPr>
        <w:lastRenderedPageBreak/>
        <w:t>test (r = -0.235), the relationship between disturbance levels and soil quality at NBBP can be best described as statistically significant yet minimally impactful. Currently, the greatest threats to soil quality at NBBP appear to be micronutrient deficiencies and high acidity levels. Management recommendations include application of chemical amendments to acidic and nutrient-deficient soils, as well as implementation of stricter parkwide policies and physical barriers to prevent visitors from interfering with historic structures. Managers at similar small-scale sites in the Atlantic Coast Flatwoods region of the United States may benefit from the novel application of a quantitative SQI to historic resource management.</w:t>
      </w:r>
    </w:p>
    <w:p w14:paraId="44809D80" w14:textId="433F60A1" w:rsidR="00FA2976" w:rsidRPr="00FA2976" w:rsidRDefault="00FA2976" w:rsidP="00FA2976">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B6617FD"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P-10</w:t>
      </w:r>
      <w:r>
        <w:rPr>
          <w:b/>
          <w:bCs/>
          <w:sz w:val="26"/>
          <w:szCs w:val="26"/>
        </w:rPr>
        <w:t xml:space="preserve"> </w:t>
      </w:r>
    </w:p>
    <w:p w14:paraId="16B34E7B" w14:textId="77777777" w:rsidR="00D30923" w:rsidRPr="00971952" w:rsidRDefault="00D30923" w:rsidP="00D30923">
      <w:pPr>
        <w:spacing w:after="0"/>
        <w:jc w:val="center"/>
        <w:rPr>
          <w:b/>
          <w:bCs/>
          <w:sz w:val="26"/>
          <w:szCs w:val="26"/>
        </w:rPr>
      </w:pPr>
      <w:r w:rsidRPr="0092723F">
        <w:rPr>
          <w:b/>
          <w:bCs/>
          <w:noProof/>
          <w:sz w:val="26"/>
          <w:szCs w:val="26"/>
        </w:rPr>
        <w:t>Search for antimicrobial-producing bacteria in NC wetlands</w:t>
      </w:r>
    </w:p>
    <w:p w14:paraId="77D68B0A" w14:textId="77777777" w:rsidR="00D30923" w:rsidRDefault="00D30923" w:rsidP="00D30923">
      <w:pPr>
        <w:spacing w:after="0" w:line="240" w:lineRule="auto"/>
        <w:jc w:val="center"/>
      </w:pPr>
      <w:r>
        <w:rPr>
          <w:noProof/>
        </w:rPr>
        <w:t>Moffa, Parker*, Leila Reyes-Ruiz</w:t>
      </w:r>
    </w:p>
    <w:p w14:paraId="7CA0EDF9" w14:textId="77777777" w:rsidR="00D30923" w:rsidRDefault="00D30923" w:rsidP="00D30923">
      <w:pPr>
        <w:spacing w:after="0" w:line="240" w:lineRule="auto"/>
        <w:jc w:val="center"/>
      </w:pPr>
      <w:r>
        <w:rPr>
          <w:noProof/>
        </w:rPr>
        <w:t>Campbell University (for both)</w:t>
      </w:r>
    </w:p>
    <w:p w14:paraId="44D666AA" w14:textId="77777777" w:rsidR="00D30923" w:rsidRDefault="00D30923" w:rsidP="00D30923">
      <w:pPr>
        <w:spacing w:after="0" w:line="240" w:lineRule="auto"/>
        <w:jc w:val="center"/>
      </w:pPr>
    </w:p>
    <w:p w14:paraId="702D4F50" w14:textId="77777777" w:rsidR="00D30923" w:rsidRDefault="00D30923" w:rsidP="00D30923">
      <w:pPr>
        <w:spacing w:after="0" w:line="240" w:lineRule="auto"/>
        <w:rPr>
          <w:noProof/>
        </w:rPr>
      </w:pPr>
      <w:r>
        <w:rPr>
          <w:noProof/>
        </w:rPr>
        <w:t>Wetlands are unique environments, hosting diverse populations of organisms and playing an important ecological role as a natural site for groundwater filtration and storage. Wetlands are home to a robust population of bacteria and other microorganisms, many of which are unclassified and unstudied by microbiologists. Unique and unstudied environments such as these are perfect sites for the discovery of new antimicrobial compounds that can be further processed into antibiotic drugs. Antibiotic discovery is an essential part of microbiological research given the current antibiotic resistance crisis our healthcare systems are experiencing. In this project, we isolated bacteria from four soil samples obtained at Neuse River Trail Wetland (35.805093, -78.539548) which at the time of sampling was the site of a bridge construction project. Serial dilutions of these samples were cultured on LBA and BHI media and cultured to determine the density (cfu/g) of bacterial growth in the soil. The CFU counts of our samples yielded results consistently below the accepted norm for swamp and marsh soil, indicating poor health of the soil. We suspect the bridge construction is stressing the environment and contributing to the poor health of the soil, but further testing is needed for confirmation. 104 unique colonies were isolated from the diverse bacterial growth in these cultures and are currently  being assessed for antimicrobial production against 8 safe ESKAPE relatives (Acinetobacter baylyi, Bacillus subtilis, Enterobacter aerogenes, Enterococcus raffinosus, Escherichia coli, Pectobacterium caratovorum, Pseudomonas putida, Staphylococcus epidermis). As of now, 39 isolates have been screened for antimicrobial production and 61.5% (24/39) have inhibited the growth of at least one of the ESKAPE relatives. These results support our hypothesis that wetland ecosystems are promising sites for the bioprospecting of antimicrobial-producing bacteria.</w:t>
      </w:r>
    </w:p>
    <w:p w14:paraId="15489BD0" w14:textId="3E699863" w:rsidR="00D30923" w:rsidRDefault="00FA2976" w:rsidP="00FA2976">
      <w:pPr>
        <w:jc w:val="center"/>
      </w:pPr>
      <w:hyperlink w:anchor="TableofContents" w:history="1">
        <w:r w:rsidRPr="45BF4E85">
          <w:rPr>
            <w:rStyle w:val="Hyperlink"/>
            <w:rFonts w:ascii="Calibri" w:hAnsi="Calibri" w:cs="Calibri"/>
            <w:b/>
            <w:bCs/>
            <w:kern w:val="0"/>
            <w:sz w:val="22"/>
            <w:szCs w:val="22"/>
          </w:rPr>
          <w:t>Return to Table of Contents</w:t>
        </w:r>
      </w:hyperlink>
    </w:p>
    <w:p w14:paraId="6F9C17D3" w14:textId="77777777" w:rsidR="00561843" w:rsidRDefault="00561843" w:rsidP="00FA2976">
      <w:pPr>
        <w:jc w:val="center"/>
      </w:pPr>
    </w:p>
    <w:p w14:paraId="1DE7E058" w14:textId="77777777" w:rsidR="00561843" w:rsidRPr="00FA2976" w:rsidRDefault="00561843" w:rsidP="00FA2976">
      <w:pPr>
        <w:jc w:val="center"/>
        <w:rPr>
          <w:rFonts w:ascii="Calibri" w:hAnsi="Calibri" w:cs="Calibri"/>
          <w:b/>
          <w:bCs/>
          <w:color w:val="000000"/>
          <w:kern w:val="0"/>
          <w:sz w:val="22"/>
          <w:szCs w:val="22"/>
        </w:rPr>
      </w:pPr>
    </w:p>
    <w:p w14:paraId="1D8E35D5"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P-11</w:t>
      </w:r>
      <w:r>
        <w:rPr>
          <w:b/>
          <w:bCs/>
          <w:sz w:val="26"/>
          <w:szCs w:val="26"/>
        </w:rPr>
        <w:t xml:space="preserve"> </w:t>
      </w:r>
    </w:p>
    <w:p w14:paraId="73B3F9DA" w14:textId="77777777" w:rsidR="00D30923" w:rsidRPr="00971952" w:rsidRDefault="00D30923" w:rsidP="00D30923">
      <w:pPr>
        <w:spacing w:after="0"/>
        <w:jc w:val="center"/>
        <w:rPr>
          <w:b/>
          <w:bCs/>
          <w:sz w:val="26"/>
          <w:szCs w:val="26"/>
        </w:rPr>
      </w:pPr>
      <w:r w:rsidRPr="0092723F">
        <w:rPr>
          <w:b/>
          <w:bCs/>
          <w:noProof/>
          <w:sz w:val="26"/>
          <w:szCs w:val="26"/>
        </w:rPr>
        <w:t>Mosquito surveillance in Pembroke, NC</w:t>
      </w:r>
    </w:p>
    <w:p w14:paraId="5A85195A" w14:textId="77777777" w:rsidR="00D30923" w:rsidRDefault="00D30923" w:rsidP="00D30923">
      <w:pPr>
        <w:spacing w:after="0" w:line="240" w:lineRule="auto"/>
        <w:jc w:val="center"/>
      </w:pPr>
      <w:r>
        <w:rPr>
          <w:noProof/>
        </w:rPr>
        <w:t>Patrick, Kayla*, Molly Trautman, Haley S. Caldwell</w:t>
      </w:r>
    </w:p>
    <w:p w14:paraId="3F2A86F5" w14:textId="77777777" w:rsidR="00D30923" w:rsidRDefault="00D30923" w:rsidP="00D30923">
      <w:pPr>
        <w:spacing w:after="0" w:line="240" w:lineRule="auto"/>
        <w:jc w:val="center"/>
      </w:pPr>
      <w:r>
        <w:rPr>
          <w:noProof/>
        </w:rPr>
        <w:t>University of North Carolina at Pembroke, Elizabeth City State University</w:t>
      </w:r>
    </w:p>
    <w:p w14:paraId="5D88491B" w14:textId="77777777" w:rsidR="00D30923" w:rsidRDefault="00D30923" w:rsidP="00D30923">
      <w:pPr>
        <w:spacing w:after="0" w:line="240" w:lineRule="auto"/>
        <w:jc w:val="center"/>
      </w:pPr>
    </w:p>
    <w:p w14:paraId="5069846C" w14:textId="77777777" w:rsidR="00D30923" w:rsidRDefault="00D30923" w:rsidP="00D30923">
      <w:pPr>
        <w:spacing w:after="0" w:line="240" w:lineRule="auto"/>
      </w:pPr>
      <w:r>
        <w:rPr>
          <w:noProof/>
        </w:rPr>
        <w:t>Mosquito surveillance, including identifying species and viruses they carry, is crucial in protecting public health. When arbovirus-carrying mosquitoes are abundant, strategies to eliminate them and lower human cases are paramount. Although surveillance occurs in North Carolina, not all counties, including Robeson county are surveyed. This project aimed at conducting surveillance and identification of mosquitoes present during a short duration. Multiple traps were used including BG sentinel, CDC blacklight and Gravid traps. Three trap sites were utilized: a maintained garden at UNC Pembroke, uncultivated farmland (ACRES), and Sampson’s Landing, an old forest with abundant stagnant water. After placing traps at each location for 24 hours, mosquitoes were harvested and sorted by species. We hypothesized that Sampson’s Landing would show the greatest mosquito diversity; and trap types would differ by genus: Gravid traps catching more Culex, BG Sentinel traps Aedes, and CDC Blacklight traps Aedes, Culex, and Anopheles. We tested 102 mosquitoes for potential arboviruses. RNA was isolated using a MagMAX isolation kit and qRT-PCR was performed to test for viruses. Key arboviruses transmitted in North Carolina are La Crosse encephalitis, and West Nile virus which are vectored primarily by Aedes triseriatus, and Culex species, respectively. Infection can result in serious neurologic sequelae including comas. However, due to a small sample size, we hypothesized that no arboviruses would be detected. Statistical analysis was performed in RStudio using a correspondence analysis and Shannon index. Sampson’s Landing had the highest mosquito diversity with an index of 2.62, and BG Sentinel traps caught the highest diversity of mosquito species with an index of 2.95. Aedes species were caught mostly by CDC blacklight traps at ACRES and by BG Sentinel traps at the garden. As expected, no viruses were detected in the samples. Our data shows that arbovirus-vectoring mosquitoes are present in Robeson county.</w:t>
      </w:r>
    </w:p>
    <w:p w14:paraId="7B0A077C" w14:textId="07B33ED7" w:rsidR="00D30923" w:rsidRPr="00FA2976" w:rsidRDefault="00FA2976" w:rsidP="00FA2976">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ACE2199"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P-12</w:t>
      </w:r>
      <w:r>
        <w:rPr>
          <w:b/>
          <w:bCs/>
          <w:sz w:val="26"/>
          <w:szCs w:val="26"/>
        </w:rPr>
        <w:t xml:space="preserve"> </w:t>
      </w:r>
    </w:p>
    <w:p w14:paraId="60EBC6AB" w14:textId="77777777" w:rsidR="00D30923" w:rsidRPr="00971952" w:rsidRDefault="00D30923" w:rsidP="00D30923">
      <w:pPr>
        <w:spacing w:after="0"/>
        <w:jc w:val="center"/>
        <w:rPr>
          <w:b/>
          <w:bCs/>
          <w:sz w:val="26"/>
          <w:szCs w:val="26"/>
        </w:rPr>
      </w:pPr>
      <w:r w:rsidRPr="0092723F">
        <w:rPr>
          <w:b/>
          <w:bCs/>
          <w:noProof/>
          <w:sz w:val="26"/>
          <w:szCs w:val="26"/>
        </w:rPr>
        <w:t>Soil Carbon in the Elon Forest: Prior Agricultural Land Use</w:t>
      </w:r>
    </w:p>
    <w:p w14:paraId="50317107" w14:textId="77777777" w:rsidR="00D30923" w:rsidRDefault="00D30923" w:rsidP="00D30923">
      <w:pPr>
        <w:spacing w:after="0" w:line="240" w:lineRule="auto"/>
        <w:jc w:val="center"/>
      </w:pPr>
      <w:r>
        <w:rPr>
          <w:noProof/>
        </w:rPr>
        <w:t>Spence, Gabrielle</w:t>
      </w:r>
    </w:p>
    <w:p w14:paraId="13C9EA65" w14:textId="77777777" w:rsidR="00D30923" w:rsidRDefault="00D30923" w:rsidP="00D30923">
      <w:pPr>
        <w:spacing w:after="0" w:line="240" w:lineRule="auto"/>
        <w:jc w:val="center"/>
      </w:pPr>
      <w:r>
        <w:rPr>
          <w:noProof/>
        </w:rPr>
        <w:t>Elon University Department of Environmental Studies</w:t>
      </w:r>
    </w:p>
    <w:p w14:paraId="4431D7CB" w14:textId="77777777" w:rsidR="00D30923" w:rsidRDefault="00D30923" w:rsidP="00D30923">
      <w:pPr>
        <w:spacing w:after="0" w:line="240" w:lineRule="auto"/>
        <w:jc w:val="center"/>
      </w:pPr>
    </w:p>
    <w:p w14:paraId="47305BF0" w14:textId="77777777" w:rsidR="00D30923" w:rsidRDefault="00D30923" w:rsidP="00D30923">
      <w:pPr>
        <w:spacing w:after="0" w:line="240" w:lineRule="auto"/>
      </w:pPr>
      <w:r>
        <w:rPr>
          <w:noProof/>
        </w:rPr>
        <w:t xml:space="preserve">Soil organic carbon (SOC) is essential to study for determining ways in which human alteration of landscapes can influence climate change. Old growth forests capture and store carbon in the soil beneath them until they are clear-cut and the carbon-rich soil is exposed. Once the soil is exposed to various forms of erosion, the soil becomes disturbed releasing the previously stored carbon into the atmosphere. Changes in land use have a large impact on the carbon-storing ability of soils. The aim of this research is to examine the amount of soil carbon present within the Elon Forest at a depth ranging from 0-50cm. </w:t>
      </w:r>
      <w:r>
        <w:rPr>
          <w:noProof/>
        </w:rPr>
        <w:lastRenderedPageBreak/>
        <w:t>Specifically, it identifies soil carbon storage in two categories: (1) areas formerly used for row crop agriculture up until 1939 and (2) areas of old-growth forest (FOC) that were never clear-cut. This year-long project began with data collection from random sampled points using an ArcGIS mapping of the Elon Forest. 5 soil samples from RC and 5 soil samples from the FOC were collected, then compared to 12 samples obtained from a prior study (6 from each condition). Loss on Ignition (LOI) testing was conducted on all samples from both conditions to determine the amount of SOC held within each sample at the six sampled depth ranges (0-2cm, 9-11cm, 19-21cm, 29-31cm, 39-41cm, 49-50cm). The results from these tests suggest that the lack of variability between RC and FOC SOC could be attributed to the organic material from past agricultural practices in the RC region around 10 and 20cm that is absent in the FOC region at those depths. Due to the deep and long-established root systems in the FOC region, the carbon availability is higher in the 30 and 40cm depths as the RC condition lacks these deep-rooted systems.</w:t>
      </w:r>
    </w:p>
    <w:p w14:paraId="2543F42F" w14:textId="07C7BA26" w:rsidR="00D30923" w:rsidRPr="00ED1047" w:rsidRDefault="00ED1047" w:rsidP="00ED104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AFB7B6D"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P-13</w:t>
      </w:r>
      <w:r>
        <w:rPr>
          <w:b/>
          <w:bCs/>
          <w:sz w:val="26"/>
          <w:szCs w:val="26"/>
        </w:rPr>
        <w:t xml:space="preserve"> </w:t>
      </w:r>
    </w:p>
    <w:p w14:paraId="2DD1434F" w14:textId="717ECD9A" w:rsidR="002F1715" w:rsidRDefault="002F1715" w:rsidP="003657FB">
      <w:pPr>
        <w:pStyle w:val="paragraph"/>
        <w:spacing w:before="0" w:beforeAutospacing="0" w:after="160" w:afterAutospacing="0"/>
        <w:jc w:val="center"/>
        <w:textAlignment w:val="baseline"/>
      </w:pPr>
      <w:r>
        <w:rPr>
          <w:rStyle w:val="normaltextrun"/>
          <w:rFonts w:ascii="Aptos" w:eastAsiaTheme="majorEastAsia" w:hAnsi="Aptos"/>
          <w:b/>
          <w:bCs/>
          <w:sz w:val="26"/>
          <w:szCs w:val="26"/>
        </w:rPr>
        <w:t>Aptamer-guided fluorescence for rapid microplastic detection</w:t>
      </w:r>
    </w:p>
    <w:p w14:paraId="087B5A49" w14:textId="77777777" w:rsidR="00D30923" w:rsidRDefault="00D30923" w:rsidP="00D30923">
      <w:pPr>
        <w:spacing w:after="0" w:line="240" w:lineRule="auto"/>
        <w:jc w:val="center"/>
      </w:pPr>
      <w:r>
        <w:rPr>
          <w:noProof/>
        </w:rPr>
        <w:t>Tariq, M. Muhammad*, Tianqi Song, Zhenquan Jia</w:t>
      </w:r>
    </w:p>
    <w:p w14:paraId="7F4353AB" w14:textId="77777777" w:rsidR="00D30923" w:rsidRDefault="00D30923" w:rsidP="00D30923">
      <w:pPr>
        <w:spacing w:after="0" w:line="240" w:lineRule="auto"/>
        <w:jc w:val="center"/>
      </w:pPr>
      <w:r>
        <w:rPr>
          <w:noProof/>
        </w:rPr>
        <w:t>Tariq, M. Muhammad - Department of Biology, University of North Carolina at Greensboro. Tianqi Song - Department of Nanoscience JSNN, University of North Carolina at Greensboro. Zhenquan Jia - Department of Biology, University of North Carolina at Greensb</w:t>
      </w:r>
    </w:p>
    <w:p w14:paraId="54EDCD51" w14:textId="77777777" w:rsidR="00D30923" w:rsidRDefault="00D30923" w:rsidP="00D30923">
      <w:pPr>
        <w:spacing w:after="0" w:line="240" w:lineRule="auto"/>
        <w:jc w:val="center"/>
      </w:pPr>
    </w:p>
    <w:p w14:paraId="13160C2F" w14:textId="77777777" w:rsidR="00D30923" w:rsidRDefault="00D30923" w:rsidP="00D30923">
      <w:pPr>
        <w:spacing w:after="0" w:line="240" w:lineRule="auto"/>
      </w:pPr>
      <w:r>
        <w:rPr>
          <w:noProof/>
        </w:rPr>
        <w:t>Microplastics have become a prominent topic in mainstream media and public discourse. Since the 1940s, global plastic production has increased dramatically, reaching an estimated 400.3 million tons in 2022 (Pilapitiya &amp; Ratnayake, 2024). Due to pollution, plastic degrades into microplastics that are widely distributed across ecosystems and detected in the human body. As a result, the scientific community has expressed concern about their potential health effects. Toxicological studies suggest that microplastic exposure may induce oxidative stress, inflammation, and reproductive toxicity (Khan &amp; Zaidi, 2025). Polystyrene is the most common type of microplastic in the environment, making its detection especially important. DNA aptamers are single-stranded DNA molecules that fold into structures capable of binding targets with high affinity and specificity. This experiment explores an aptamer-based fluorescence assay for detecting polystyrene microplastics. The aptamer anchors a DNA hairpin to the polystyrene surface, which upon activation, replaces the quenching strand of the fluorophore-quencher reporter complex. This anchors the fluorophore to the microplastic surface for flow cytometry detection. The optimized assay showed that the fluorescence intensity of microplastic samples was significantly higher in the presence of the aptamer system than the control samples, demonstrating that DNA aptamers provide a feasible and sensitive detection strategy.</w:t>
      </w:r>
    </w:p>
    <w:p w14:paraId="4FDE30BA" w14:textId="77949542" w:rsidR="00D30923" w:rsidRDefault="00ED1047" w:rsidP="00ED1047">
      <w:pPr>
        <w:jc w:val="center"/>
      </w:pPr>
      <w:hyperlink w:anchor="TableofContents" w:history="1">
        <w:r w:rsidRPr="45BF4E85">
          <w:rPr>
            <w:rStyle w:val="Hyperlink"/>
            <w:rFonts w:ascii="Calibri" w:hAnsi="Calibri" w:cs="Calibri"/>
            <w:b/>
            <w:bCs/>
            <w:kern w:val="0"/>
            <w:sz w:val="22"/>
            <w:szCs w:val="22"/>
          </w:rPr>
          <w:t>Return to Table of Contents</w:t>
        </w:r>
      </w:hyperlink>
    </w:p>
    <w:p w14:paraId="24647D3B" w14:textId="77777777" w:rsidR="009972D2" w:rsidRPr="00ED1047" w:rsidRDefault="009972D2" w:rsidP="00ED1047">
      <w:pPr>
        <w:jc w:val="center"/>
        <w:rPr>
          <w:rFonts w:ascii="Calibri" w:hAnsi="Calibri" w:cs="Calibri"/>
          <w:b/>
          <w:bCs/>
          <w:color w:val="000000"/>
          <w:kern w:val="0"/>
          <w:sz w:val="22"/>
          <w:szCs w:val="22"/>
        </w:rPr>
      </w:pPr>
    </w:p>
    <w:p w14:paraId="1A003E9E"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P-14</w:t>
      </w:r>
      <w:r>
        <w:rPr>
          <w:b/>
          <w:bCs/>
          <w:sz w:val="26"/>
          <w:szCs w:val="26"/>
        </w:rPr>
        <w:t xml:space="preserve"> </w:t>
      </w:r>
    </w:p>
    <w:p w14:paraId="166EEE38" w14:textId="77777777" w:rsidR="00D30923" w:rsidRPr="00971952" w:rsidRDefault="00D30923" w:rsidP="00D30923">
      <w:pPr>
        <w:spacing w:after="0"/>
        <w:jc w:val="center"/>
        <w:rPr>
          <w:b/>
          <w:bCs/>
          <w:sz w:val="26"/>
          <w:szCs w:val="26"/>
        </w:rPr>
      </w:pPr>
      <w:r w:rsidRPr="0092723F">
        <w:rPr>
          <w:b/>
          <w:bCs/>
          <w:noProof/>
          <w:sz w:val="26"/>
          <w:szCs w:val="26"/>
        </w:rPr>
        <w:t>A quantitative overview of the microplastics found in the gastrointestinal tract of the spottail pinfish (</w:t>
      </w:r>
      <w:r w:rsidRPr="003E2BED">
        <w:rPr>
          <w:b/>
          <w:bCs/>
          <w:i/>
          <w:iCs/>
          <w:noProof/>
          <w:sz w:val="26"/>
          <w:szCs w:val="26"/>
        </w:rPr>
        <w:t>Diplodus holbrookii</w:t>
      </w:r>
      <w:r w:rsidRPr="0092723F">
        <w:rPr>
          <w:b/>
          <w:bCs/>
          <w:noProof/>
          <w:sz w:val="26"/>
          <w:szCs w:val="26"/>
        </w:rPr>
        <w:t>).</w:t>
      </w:r>
    </w:p>
    <w:p w14:paraId="38B5A460" w14:textId="77777777" w:rsidR="00D30923" w:rsidRDefault="00D30923" w:rsidP="00D30923">
      <w:pPr>
        <w:spacing w:after="0" w:line="240" w:lineRule="auto"/>
        <w:jc w:val="center"/>
      </w:pPr>
      <w:r>
        <w:rPr>
          <w:noProof/>
        </w:rPr>
        <w:t>Wall, George*, Holly Peterson</w:t>
      </w:r>
    </w:p>
    <w:p w14:paraId="2B6FBC09" w14:textId="77777777" w:rsidR="00D30923" w:rsidRDefault="00D30923" w:rsidP="00D30923">
      <w:pPr>
        <w:spacing w:after="0" w:line="240" w:lineRule="auto"/>
        <w:jc w:val="center"/>
      </w:pPr>
      <w:r>
        <w:rPr>
          <w:noProof/>
        </w:rPr>
        <w:t>Guilford College</w:t>
      </w:r>
    </w:p>
    <w:p w14:paraId="788D71D8" w14:textId="77777777" w:rsidR="00D30923" w:rsidRDefault="00D30923" w:rsidP="00D30923">
      <w:pPr>
        <w:spacing w:after="0" w:line="240" w:lineRule="auto"/>
        <w:jc w:val="center"/>
      </w:pPr>
    </w:p>
    <w:p w14:paraId="08920322" w14:textId="77777777" w:rsidR="00D30923" w:rsidRDefault="00D30923" w:rsidP="00D30923">
      <w:pPr>
        <w:spacing w:after="0" w:line="240" w:lineRule="auto"/>
        <w:rPr>
          <w:noProof/>
        </w:rPr>
      </w:pPr>
      <w:r>
        <w:rPr>
          <w:noProof/>
        </w:rPr>
        <w:t>A quantitative overview of the microplastics found in the gastrointestinal tract of the spottail pinfish (Diplodus holbrookii)</w:t>
      </w:r>
    </w:p>
    <w:p w14:paraId="648EDA22" w14:textId="77777777" w:rsidR="00D30923" w:rsidRDefault="00D30923" w:rsidP="00D30923">
      <w:pPr>
        <w:spacing w:after="0" w:line="240" w:lineRule="auto"/>
        <w:rPr>
          <w:noProof/>
        </w:rPr>
      </w:pPr>
      <w:r>
        <w:rPr>
          <w:noProof/>
        </w:rPr>
        <w:t xml:space="preserve">Microplastics (MPs) are small plastic particles with a size of &lt;5mm that have the potential to cause physical and chemical harm when ingested by organisms. There is limited research on chemical digestions tailored for extracting MPs from organic samples and even less on preserved samples. This is due to varying compositions of organic matter as well as the nuances of preserving MP structure in a chemically preserved sample. The goal of this study is to count and classify the MPs found in the gastrointestinal tract of spottail pinfish (Diplodus holbrookii) in Wilmington, NC. We developed a chemical digestion built around KOH for the extraction of MPs in organic animal samples preserved in a 10% Neutral Buffered Formalin (NBF) solution. </w:t>
      </w:r>
    </w:p>
    <w:p w14:paraId="57533FB0" w14:textId="77777777" w:rsidR="00D30923" w:rsidRDefault="00D30923" w:rsidP="00D30923">
      <w:pPr>
        <w:spacing w:after="0" w:line="240" w:lineRule="auto"/>
        <w:rPr>
          <w:noProof/>
        </w:rPr>
      </w:pPr>
      <w:r>
        <w:rPr>
          <w:noProof/>
        </w:rPr>
        <w:t xml:space="preserve">We are developing an efficient digestion that effectively removes organic matter while also preserving the MPs’ physical structure. Our research can bring new insights about the plastics affecting our local ecosystems and understand more about the transfer of toxins through MPs. </w:t>
      </w:r>
    </w:p>
    <w:p w14:paraId="2FBF2E03" w14:textId="77777777" w:rsidR="00D30923" w:rsidRDefault="00D30923" w:rsidP="00D30923">
      <w:pPr>
        <w:spacing w:after="0" w:line="240" w:lineRule="auto"/>
      </w:pPr>
      <w:r>
        <w:rPr>
          <w:noProof/>
        </w:rPr>
        <w:t>Recent studies suggest that excessive marine microplastic pollution negatively impacts the entire ocean. Future studies could help build a baseline for MP occurrence to gain further insights into the accumulation of toxins in our oceans’ fish. We know that MPs are extremely common but I think we are just scratching the surface on marine MP pollution. The aim of this study is to bring new knowledge for this area of study, spread awareness, and support future research for marine pollutant bioaccumulation via MPs. We do not have any data at the time of writing this abstract.</w:t>
      </w:r>
    </w:p>
    <w:p w14:paraId="5454F238" w14:textId="70F48716" w:rsidR="00D30923" w:rsidRPr="00ED1047" w:rsidRDefault="00ED1047" w:rsidP="00ED104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59DD32F9"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P-15</w:t>
      </w:r>
      <w:r>
        <w:rPr>
          <w:b/>
          <w:bCs/>
          <w:sz w:val="26"/>
          <w:szCs w:val="26"/>
        </w:rPr>
        <w:t xml:space="preserve"> </w:t>
      </w:r>
    </w:p>
    <w:p w14:paraId="15F95220" w14:textId="0EAA53BF" w:rsidR="00D30923" w:rsidRPr="00971952" w:rsidRDefault="00D30923" w:rsidP="00D30923">
      <w:pPr>
        <w:spacing w:after="0"/>
        <w:jc w:val="center"/>
        <w:rPr>
          <w:b/>
          <w:bCs/>
          <w:sz w:val="26"/>
          <w:szCs w:val="26"/>
        </w:rPr>
      </w:pPr>
      <w:r w:rsidRPr="0092723F">
        <w:rPr>
          <w:b/>
          <w:bCs/>
          <w:noProof/>
          <w:sz w:val="26"/>
          <w:szCs w:val="26"/>
        </w:rPr>
        <w:t>P</w:t>
      </w:r>
      <w:r w:rsidR="009D5002">
        <w:rPr>
          <w:b/>
          <w:bCs/>
          <w:noProof/>
          <w:sz w:val="26"/>
          <w:szCs w:val="26"/>
        </w:rPr>
        <w:t>henotypic</w:t>
      </w:r>
      <w:r w:rsidRPr="0092723F">
        <w:rPr>
          <w:b/>
          <w:bCs/>
          <w:noProof/>
          <w:sz w:val="26"/>
          <w:szCs w:val="26"/>
        </w:rPr>
        <w:t xml:space="preserve"> Characterization and Antimicrobial Activity of Soil-Derived Bacterial Isolates</w:t>
      </w:r>
    </w:p>
    <w:p w14:paraId="18D05D09" w14:textId="77777777" w:rsidR="00D30923" w:rsidRDefault="00D30923" w:rsidP="00D30923">
      <w:pPr>
        <w:spacing w:after="0" w:line="240" w:lineRule="auto"/>
        <w:jc w:val="center"/>
      </w:pPr>
      <w:r>
        <w:rPr>
          <w:noProof/>
        </w:rPr>
        <w:t>Wallmann, Gabriel* , Samuel, Bohlen , Michelle, Thomas</w:t>
      </w:r>
    </w:p>
    <w:p w14:paraId="0C8DD9B8" w14:textId="77777777" w:rsidR="00D30923" w:rsidRDefault="00D30923" w:rsidP="00D30923">
      <w:pPr>
        <w:spacing w:after="0" w:line="240" w:lineRule="auto"/>
        <w:jc w:val="center"/>
      </w:pPr>
      <w:r>
        <w:rPr>
          <w:noProof/>
        </w:rPr>
        <w:t>Campbell University, Department of Biological Sciences</w:t>
      </w:r>
    </w:p>
    <w:p w14:paraId="38E62B34" w14:textId="77777777" w:rsidR="00D30923" w:rsidRDefault="00D30923" w:rsidP="00D30923">
      <w:pPr>
        <w:spacing w:after="0" w:line="240" w:lineRule="auto"/>
        <w:jc w:val="center"/>
      </w:pPr>
    </w:p>
    <w:p w14:paraId="71144F0B" w14:textId="77777777" w:rsidR="00D30923" w:rsidRDefault="00D30923" w:rsidP="00D30923">
      <w:pPr>
        <w:spacing w:after="0" w:line="240" w:lineRule="auto"/>
      </w:pPr>
      <w:r>
        <w:rPr>
          <w:noProof/>
        </w:rPr>
        <w:t xml:space="preserve">Antimicrobial resistance is a growing issue in healthcare, requiring the need to find new antimicrobial-producing bacteria. Four soil-derived bacterial isolates collected from different regenerative agricultural sites in North Carolina were phenotypically characterised. All four isolates inhibited at least 6 out of the 8 safe ESKAPE near relatives, with all inhibiting Staphylococcus epidermidis. 16S rRNA sequencing identified the isolates as Bacillus toyonensis (1B8), Bacillus pumilus (2B9), Pseudomonas atagonensis (3B8), and Pseudomonas parafulva (4A2). To characterize the isolates, colony morphology, </w:t>
      </w:r>
      <w:r>
        <w:rPr>
          <w:noProof/>
        </w:rPr>
        <w:lastRenderedPageBreak/>
        <w:t>biochemical tests (gelatinase, citrate, sugar fermentation, MR-VP, nitrate, indole, and motility), and BioLog Gen III phenotypic plates were performed. Phenotypic results were compiled and compared to published literature for the corresponding species, supporting their 16S ribosomal RNA identification. Future studies will explore isolate 4A2, looking at its genomic sequence to support the presence of antimicrobial-producing compounds.</w:t>
      </w:r>
    </w:p>
    <w:p w14:paraId="33293B14" w14:textId="2C078AB8" w:rsidR="00D30923" w:rsidRDefault="00ED1047" w:rsidP="00ED104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FCC3F43"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P-16</w:t>
      </w:r>
      <w:r>
        <w:rPr>
          <w:b/>
          <w:bCs/>
          <w:sz w:val="26"/>
          <w:szCs w:val="26"/>
        </w:rPr>
        <w:t xml:space="preserve"> </w:t>
      </w:r>
    </w:p>
    <w:p w14:paraId="69A3D4BD" w14:textId="77777777" w:rsidR="00D30923" w:rsidRPr="00971952" w:rsidRDefault="00D30923" w:rsidP="00D30923">
      <w:pPr>
        <w:spacing w:after="0"/>
        <w:jc w:val="center"/>
        <w:rPr>
          <w:b/>
          <w:bCs/>
          <w:sz w:val="26"/>
          <w:szCs w:val="26"/>
        </w:rPr>
      </w:pPr>
      <w:r w:rsidRPr="0092723F">
        <w:rPr>
          <w:b/>
          <w:bCs/>
          <w:noProof/>
          <w:sz w:val="26"/>
          <w:szCs w:val="26"/>
        </w:rPr>
        <w:t>Antimicrobial potential of bacterial Isolates from brown marmorated stinkbugs</w:t>
      </w:r>
    </w:p>
    <w:p w14:paraId="4D2549F9" w14:textId="77777777" w:rsidR="00D30923" w:rsidRDefault="00D30923" w:rsidP="00D30923">
      <w:pPr>
        <w:spacing w:after="0" w:line="240" w:lineRule="auto"/>
        <w:jc w:val="center"/>
      </w:pPr>
      <w:r>
        <w:rPr>
          <w:noProof/>
        </w:rPr>
        <w:t>Harvey, Sarah*, Mathews, Stephanie</w:t>
      </w:r>
    </w:p>
    <w:p w14:paraId="2A93C434" w14:textId="77777777" w:rsidR="00D30923" w:rsidRDefault="00D30923" w:rsidP="00D30923">
      <w:pPr>
        <w:spacing w:after="0" w:line="240" w:lineRule="auto"/>
        <w:jc w:val="center"/>
      </w:pPr>
      <w:r>
        <w:rPr>
          <w:noProof/>
        </w:rPr>
        <w:t>North Carolina State University</w:t>
      </w:r>
    </w:p>
    <w:p w14:paraId="01DAC434" w14:textId="77777777" w:rsidR="00D30923" w:rsidRDefault="00D30923" w:rsidP="00D30923">
      <w:pPr>
        <w:spacing w:after="0" w:line="240" w:lineRule="auto"/>
        <w:jc w:val="center"/>
      </w:pPr>
    </w:p>
    <w:p w14:paraId="40A5B30A" w14:textId="77777777" w:rsidR="00D30923" w:rsidRDefault="00D30923" w:rsidP="00D30923">
      <w:pPr>
        <w:spacing w:after="0" w:line="240" w:lineRule="auto"/>
      </w:pPr>
      <w:r>
        <w:rPr>
          <w:noProof/>
        </w:rPr>
        <w:t>Brown marmorated stinkbugs (BMSB), Halyomorpha halys, are an invasive species that arrived in North America from Asia in the late 1980s and are of major agriculture concern as they feed on a variety of crops including apples, soy beans, and tomatoes. Despite their destructive nature, the BMSBs produce compounds that have known antimicrobial properties that have been shown to inhibit fungal and bacterial growth. This led us to ask if the BMSB might have some additional benefit not yet known. In this experiment, bacteria from BMSB were isolated and antimicrobial potential evaluated by directly competing them against safe relatives of ESKAPE pathogens. BMSB were collected from residences and soybean fields in North Carolina, homogenized, serially diluted and plated on nutrient agar. Twenty morphologically distinct colonies were isolated from BMSBs.  Of these twenty isolates three (G1.2, BS.3, LO)  demonstrated some inhibition against one or more of the following safe ESKAPES: Erwinia carotovora, Enterobacter aerogenes, or Bacillus Subtilis. Future work will include the identification of these bacterial isolates using 16S rDNA sequencing.</w:t>
      </w:r>
    </w:p>
    <w:p w14:paraId="2FD270A9" w14:textId="29219BDC"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3738CEB3"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P-17</w:t>
      </w:r>
      <w:r>
        <w:rPr>
          <w:b/>
          <w:bCs/>
          <w:sz w:val="26"/>
          <w:szCs w:val="26"/>
        </w:rPr>
        <w:t xml:space="preserve"> </w:t>
      </w:r>
    </w:p>
    <w:p w14:paraId="195E7190" w14:textId="77777777" w:rsidR="00D30923" w:rsidRPr="00971952" w:rsidRDefault="00D30923" w:rsidP="00D30923">
      <w:pPr>
        <w:spacing w:after="0"/>
        <w:jc w:val="center"/>
        <w:rPr>
          <w:b/>
          <w:bCs/>
          <w:sz w:val="26"/>
          <w:szCs w:val="26"/>
        </w:rPr>
      </w:pPr>
      <w:r w:rsidRPr="0092723F">
        <w:rPr>
          <w:b/>
          <w:bCs/>
          <w:noProof/>
          <w:sz w:val="26"/>
          <w:szCs w:val="26"/>
        </w:rPr>
        <w:t>Validation of an electric stimulator to extract venoms of spiders and scorpions</w:t>
      </w:r>
    </w:p>
    <w:p w14:paraId="57374E32" w14:textId="77777777" w:rsidR="00D30923" w:rsidRDefault="00D30923" w:rsidP="00D30923">
      <w:pPr>
        <w:spacing w:after="0" w:line="240" w:lineRule="auto"/>
        <w:jc w:val="center"/>
      </w:pPr>
      <w:r>
        <w:rPr>
          <w:noProof/>
        </w:rPr>
        <w:t>Julio César González Gómez*, Andrés Marquez, Ingrid Yumaira Álvarez Parra, David Guzmán</w:t>
      </w:r>
    </w:p>
    <w:p w14:paraId="7FBFA66F" w14:textId="77777777" w:rsidR="00D30923" w:rsidRDefault="00D30923" w:rsidP="00D30923">
      <w:pPr>
        <w:spacing w:after="0" w:line="240" w:lineRule="auto"/>
        <w:jc w:val="center"/>
      </w:pPr>
      <w:r>
        <w:rPr>
          <w:noProof/>
        </w:rPr>
        <w:t>Universidad Surcolombiana, Entomopixel LLC, Universidad Surcolombiana, Entomopixel LLC</w:t>
      </w:r>
    </w:p>
    <w:p w14:paraId="7660DB18" w14:textId="77777777" w:rsidR="00D30923" w:rsidRDefault="00D30923" w:rsidP="00D30923">
      <w:pPr>
        <w:spacing w:after="0" w:line="240" w:lineRule="auto"/>
        <w:jc w:val="center"/>
      </w:pPr>
    </w:p>
    <w:p w14:paraId="7CC221C6" w14:textId="77777777" w:rsidR="00D30923" w:rsidRDefault="00D30923" w:rsidP="00D30923">
      <w:pPr>
        <w:spacing w:after="0" w:line="240" w:lineRule="auto"/>
        <w:rPr>
          <w:noProof/>
        </w:rPr>
      </w:pPr>
      <w:r>
        <w:rPr>
          <w:noProof/>
        </w:rPr>
        <w:t>Venom extraction is a critical step in toxinological research, and its efficiency is strongly influenced by stimulation parameters. This study presents a preliminary evaluation of the relationship between electrical stimulation settings and venom yield in scorpions.</w:t>
      </w:r>
    </w:p>
    <w:p w14:paraId="34481615" w14:textId="435B7633" w:rsidR="00D30923" w:rsidRDefault="00D30923" w:rsidP="00D30923">
      <w:pPr>
        <w:spacing w:after="0" w:line="240" w:lineRule="auto"/>
        <w:rPr>
          <w:noProof/>
        </w:rPr>
      </w:pPr>
      <w:r>
        <w:rPr>
          <w:noProof/>
        </w:rPr>
        <w:t xml:space="preserve">Five adult individuals (4 males, 1 female) were evaluated under controlled laboratory conditions. Electrical stimulation was applied using variable combinations of voltage, frequency, and duty cycle (5–19 V, 5–40 Hz, 20–80%). For each specimen, prosoma dimensions, body mass (before and after extraction), venom volume, and post-extraction responses were recorded. Venom was successfully obtained in four of five individuals, with volumes ranging from 1.62 to 4.46 µL. Higher venom yields were observed in individuals </w:t>
      </w:r>
      <w:r>
        <w:rPr>
          <w:noProof/>
        </w:rPr>
        <w:lastRenderedPageBreak/>
        <w:t>subjected to intermediate-to-high stimulation parameters (15 V, 20 Hz, 50% duty cycle), whereas lower parameter settings (5 V, 5 Hz, 20%) resulted in reduced venom volumes. The highest stimulation setting tested (19 V, 40 Hz, 80%) did not produce venom in the only female specimen, suggesting that increased intensity does not necessarily enhance extraction efficiency. Post-extraction respo</w:t>
      </w:r>
      <w:r w:rsidR="0088076D">
        <w:rPr>
          <w:noProof/>
        </w:rPr>
        <w:t xml:space="preserve">  </w:t>
      </w:r>
      <w:r>
        <w:rPr>
          <w:noProof/>
        </w:rPr>
        <w:t>nses varied from absence of observable symptoms to muscular contractions and transient changes in metasoma or telson positioning. More pronounced responses were associated with higher stimulation intensities.</w:t>
      </w:r>
      <w:r w:rsidR="0088076D">
        <w:rPr>
          <w:noProof/>
        </w:rPr>
        <w:t xml:space="preserve"> </w:t>
      </w:r>
      <w:r>
        <w:rPr>
          <w:noProof/>
        </w:rPr>
        <w:t>Although limited by small sample size, these results suggest that venom yield is influenced by stimulation parameters, with intermediate settings potentially optimizing extraction efficiency while minimizing physiological stress. Further studies with larger sample sizes and controlled experimental designs are required to validate these trends.</w:t>
      </w:r>
    </w:p>
    <w:p w14:paraId="4C83FC58" w14:textId="35700EC6"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E749834"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P-18</w:t>
      </w:r>
      <w:r>
        <w:rPr>
          <w:b/>
          <w:bCs/>
          <w:sz w:val="26"/>
          <w:szCs w:val="26"/>
        </w:rPr>
        <w:t xml:space="preserve"> </w:t>
      </w:r>
    </w:p>
    <w:p w14:paraId="59FFF3BB" w14:textId="77777777" w:rsidR="00D30923" w:rsidRPr="00971952" w:rsidRDefault="00D30923" w:rsidP="00D30923">
      <w:pPr>
        <w:spacing w:after="0"/>
        <w:jc w:val="center"/>
        <w:rPr>
          <w:b/>
          <w:bCs/>
          <w:sz w:val="26"/>
          <w:szCs w:val="26"/>
        </w:rPr>
      </w:pPr>
      <w:r w:rsidRPr="0092723F">
        <w:rPr>
          <w:b/>
          <w:bCs/>
          <w:noProof/>
          <w:sz w:val="26"/>
          <w:szCs w:val="26"/>
        </w:rPr>
        <w:t xml:space="preserve">Replication of a standard PA14 survival assay in TDP- 43–mutant </w:t>
      </w:r>
      <w:r w:rsidRPr="0088076D">
        <w:rPr>
          <w:b/>
          <w:bCs/>
          <w:i/>
          <w:iCs/>
          <w:noProof/>
          <w:sz w:val="26"/>
          <w:szCs w:val="26"/>
        </w:rPr>
        <w:t>C. elegans</w:t>
      </w:r>
    </w:p>
    <w:p w14:paraId="4B363C0D" w14:textId="77777777" w:rsidR="00D30923" w:rsidRDefault="00D30923" w:rsidP="00D30923">
      <w:pPr>
        <w:spacing w:after="0" w:line="240" w:lineRule="auto"/>
        <w:jc w:val="center"/>
      </w:pPr>
      <w:r>
        <w:rPr>
          <w:noProof/>
        </w:rPr>
        <w:t>Lang, Analise*, Courtney Alexander, PhD</w:t>
      </w:r>
    </w:p>
    <w:p w14:paraId="7AAAA6DF" w14:textId="77777777" w:rsidR="00D30923" w:rsidRDefault="00D30923" w:rsidP="00D30923">
      <w:pPr>
        <w:spacing w:after="0" w:line="240" w:lineRule="auto"/>
        <w:jc w:val="center"/>
      </w:pPr>
      <w:r>
        <w:rPr>
          <w:noProof/>
        </w:rPr>
        <w:t>University of North Carolina at Pembroke</w:t>
      </w:r>
    </w:p>
    <w:p w14:paraId="7FD0A548" w14:textId="77777777" w:rsidR="00D30923" w:rsidRDefault="00D30923" w:rsidP="00D30923">
      <w:pPr>
        <w:spacing w:after="0" w:line="240" w:lineRule="auto"/>
        <w:jc w:val="center"/>
      </w:pPr>
    </w:p>
    <w:p w14:paraId="0261A722" w14:textId="77777777" w:rsidR="00D30923" w:rsidRDefault="00D30923" w:rsidP="00D30923">
      <w:pPr>
        <w:spacing w:after="0" w:line="240" w:lineRule="auto"/>
      </w:pPr>
      <w:r>
        <w:rPr>
          <w:noProof/>
        </w:rPr>
        <w:t>The Pseudomonas aeruginosa PA14 survival assay is a widely used system for studying host–pathogen interactions, neurodegeneration, and innate immunity in C. elegans. Prior studies report robust worm mortality under PA14 exposure within 48 hours, including enhanced susceptibility in strains expressing human disease associated proteins such as TDP 43. This experiment aimed to replicate a standard PA14 slow killing survival assay using TDP 43–mutant C. elegans, along with their equivalent controls to evaluate pathogen susceptibility and assay reproducibility. PA14 lawns were prepared following established slow killing assay protocols, and age synchronized worms were transferred to infection plates. Worm survival and behavior were monitored over several days. Although all procedural steps were followed, PA14 growth on slow killing plates was inconsistent with expected results and did not achieve the expected virulent lawn morphology, specifically the light blue color. Likely due to this change in lawn growth, neither the TDP 43–mutant worms nor the controls exhibited the anticipated mortality phenotype. Instead, worms remained active, survived throughout the observation period, and produced viable offspring. These outcomes diverge from published reports of rapid PA14 induced killing in this model. These findings highlight the sensitivity of the PA14 survival assay to bacterial growth conditions and emphasize the challenges of experimental reproducibility. Suboptimal PA14 virulence likely contributed to the absence of worm mortality. Future work should focus on optimizing bacterial culture conditions, verifying PA14 pathogenicity, and assessing environmental variables that influence infection outcomes.</w:t>
      </w:r>
    </w:p>
    <w:p w14:paraId="77556D15" w14:textId="3D61E629"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19EF0871" w14:textId="77777777" w:rsidR="00561843" w:rsidRDefault="00561843" w:rsidP="00FF7C77">
      <w:pPr>
        <w:jc w:val="center"/>
      </w:pPr>
    </w:p>
    <w:p w14:paraId="2D2C392D" w14:textId="77777777" w:rsidR="00561843" w:rsidRDefault="00561843" w:rsidP="00FF7C77">
      <w:pPr>
        <w:jc w:val="center"/>
      </w:pPr>
    </w:p>
    <w:p w14:paraId="7BC7332F" w14:textId="77777777" w:rsidR="00561843" w:rsidRDefault="00561843" w:rsidP="00FF7C77">
      <w:pPr>
        <w:jc w:val="center"/>
      </w:pPr>
    </w:p>
    <w:p w14:paraId="2346C581"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P-19</w:t>
      </w:r>
      <w:r>
        <w:rPr>
          <w:b/>
          <w:bCs/>
          <w:sz w:val="26"/>
          <w:szCs w:val="26"/>
        </w:rPr>
        <w:t xml:space="preserve"> </w:t>
      </w:r>
    </w:p>
    <w:p w14:paraId="6D13AE9E" w14:textId="77777777" w:rsidR="00D30923" w:rsidRPr="00971952" w:rsidRDefault="00D30923" w:rsidP="00D30923">
      <w:pPr>
        <w:spacing w:after="0"/>
        <w:jc w:val="center"/>
        <w:rPr>
          <w:b/>
          <w:bCs/>
          <w:sz w:val="26"/>
          <w:szCs w:val="26"/>
        </w:rPr>
      </w:pPr>
      <w:r w:rsidRPr="0092723F">
        <w:rPr>
          <w:b/>
          <w:bCs/>
          <w:noProof/>
          <w:sz w:val="26"/>
          <w:szCs w:val="26"/>
        </w:rPr>
        <w:t>Ecological preferences of wintergreen orchids (</w:t>
      </w:r>
      <w:r w:rsidRPr="0088076D">
        <w:rPr>
          <w:b/>
          <w:bCs/>
          <w:i/>
          <w:iCs/>
          <w:noProof/>
          <w:sz w:val="26"/>
          <w:szCs w:val="26"/>
        </w:rPr>
        <w:t>Tipularia discolor, Goodyera pubescens</w:t>
      </w:r>
      <w:r w:rsidRPr="0092723F">
        <w:rPr>
          <w:b/>
          <w:bCs/>
          <w:noProof/>
          <w:sz w:val="26"/>
          <w:szCs w:val="26"/>
        </w:rPr>
        <w:t xml:space="preserve">, and </w:t>
      </w:r>
      <w:r w:rsidRPr="0088076D">
        <w:rPr>
          <w:b/>
          <w:bCs/>
          <w:i/>
          <w:iCs/>
          <w:noProof/>
          <w:sz w:val="26"/>
          <w:szCs w:val="26"/>
        </w:rPr>
        <w:t>Aplectrum hyemale</w:t>
      </w:r>
      <w:r w:rsidRPr="0092723F">
        <w:rPr>
          <w:b/>
          <w:bCs/>
          <w:noProof/>
          <w:sz w:val="26"/>
          <w:szCs w:val="26"/>
        </w:rPr>
        <w:t>) in the backyard of the Haliwa-Saponi Indian Tribe</w:t>
      </w:r>
    </w:p>
    <w:p w14:paraId="271ECB8D" w14:textId="77777777" w:rsidR="00D30923" w:rsidRDefault="00D30923" w:rsidP="00D30923">
      <w:pPr>
        <w:spacing w:after="0" w:line="240" w:lineRule="auto"/>
        <w:jc w:val="center"/>
      </w:pPr>
      <w:r>
        <w:rPr>
          <w:noProof/>
        </w:rPr>
        <w:t>Lynch, Lucas,* Lisa Kelly</w:t>
      </w:r>
    </w:p>
    <w:p w14:paraId="6373A647" w14:textId="77777777" w:rsidR="00D30923" w:rsidRDefault="00D30923" w:rsidP="00D30923">
      <w:pPr>
        <w:spacing w:after="0" w:line="240" w:lineRule="auto"/>
        <w:jc w:val="center"/>
      </w:pPr>
      <w:r>
        <w:rPr>
          <w:noProof/>
        </w:rPr>
        <w:t>University of North Carolina at Pembroke</w:t>
      </w:r>
    </w:p>
    <w:p w14:paraId="66BEEBA0" w14:textId="77777777" w:rsidR="00D30923" w:rsidRDefault="00D30923" w:rsidP="00D30923">
      <w:pPr>
        <w:spacing w:after="0" w:line="240" w:lineRule="auto"/>
        <w:jc w:val="center"/>
      </w:pPr>
    </w:p>
    <w:p w14:paraId="4562404D" w14:textId="77777777" w:rsidR="00D30923" w:rsidRDefault="00D30923" w:rsidP="00D30923">
      <w:pPr>
        <w:spacing w:after="0" w:line="240" w:lineRule="auto"/>
        <w:rPr>
          <w:noProof/>
        </w:rPr>
      </w:pPr>
      <w:r>
        <w:rPr>
          <w:noProof/>
        </w:rPr>
        <w:t>Terrestrial orchids are excellent indicator species and likely to have been shaped by the local traditional ecological practices of Indigenous peoples. My research will be conducted on the rural edges of Halifax, Warren and Nash Counties, North Carolina, where I have access to family-owned land and private hunting club properties that are confirmed habitats for these terrestrial orchids. Ecological surveys will include population size and density, plant associations, ecological distribution, and microhabitat data: Photosynthetically Active Radiation, decomposing wood, slope, soil conditions. Population surveys will be based on methodologies standardized by the Carolina Vegetation Survey. I will also be collecting histories of traditional ecological knowledge of the local Haliwa-Saponi people. Maps will be created to represent orchid and associated plant distributions. Information on the sensitive ecosystems will be presented to the Haliwa-Saponi tribe for land stewardship and biocultural restoration. Research will also be assessing, by way of direct dialogue, the current knowledge base held by the Haliwa-Saponi tribe on native orchids.</w:t>
      </w:r>
    </w:p>
    <w:p w14:paraId="6549A861" w14:textId="0D1944B8"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55CD8C58"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P-20</w:t>
      </w:r>
      <w:r>
        <w:rPr>
          <w:b/>
          <w:bCs/>
          <w:sz w:val="26"/>
          <w:szCs w:val="26"/>
        </w:rPr>
        <w:t xml:space="preserve"> </w:t>
      </w:r>
    </w:p>
    <w:p w14:paraId="498DF684" w14:textId="77777777" w:rsidR="00D30923" w:rsidRPr="00971952" w:rsidRDefault="00D30923" w:rsidP="00D30923">
      <w:pPr>
        <w:spacing w:after="0"/>
        <w:jc w:val="center"/>
        <w:rPr>
          <w:b/>
          <w:bCs/>
          <w:sz w:val="26"/>
          <w:szCs w:val="26"/>
        </w:rPr>
      </w:pPr>
      <w:r w:rsidRPr="0092723F">
        <w:rPr>
          <w:b/>
          <w:bCs/>
          <w:noProof/>
          <w:sz w:val="26"/>
          <w:szCs w:val="26"/>
        </w:rPr>
        <w:t>The Hidden Link: Endocrine Disruptors, Autoimmunity, and the Oral-Gut Microbial Axis</w:t>
      </w:r>
    </w:p>
    <w:p w14:paraId="66370B08" w14:textId="77777777" w:rsidR="00D30923" w:rsidRDefault="00D30923" w:rsidP="00D30923">
      <w:pPr>
        <w:spacing w:after="0" w:line="240" w:lineRule="auto"/>
        <w:jc w:val="center"/>
      </w:pPr>
      <w:r>
        <w:rPr>
          <w:noProof/>
        </w:rPr>
        <w:t>Makenna Grozis*</w:t>
      </w:r>
    </w:p>
    <w:p w14:paraId="68AF0D04" w14:textId="77777777" w:rsidR="00D30923" w:rsidRDefault="00D30923" w:rsidP="00D30923">
      <w:pPr>
        <w:spacing w:after="0" w:line="240" w:lineRule="auto"/>
        <w:jc w:val="center"/>
      </w:pPr>
      <w:r>
        <w:rPr>
          <w:noProof/>
        </w:rPr>
        <w:t>Elon University</w:t>
      </w:r>
    </w:p>
    <w:p w14:paraId="1E934DDD" w14:textId="77777777" w:rsidR="00D30923" w:rsidRDefault="00D30923" w:rsidP="00D30923">
      <w:pPr>
        <w:spacing w:after="0" w:line="240" w:lineRule="auto"/>
        <w:jc w:val="center"/>
      </w:pPr>
    </w:p>
    <w:p w14:paraId="141ED0FC" w14:textId="77777777" w:rsidR="00D30923" w:rsidRDefault="00D30923" w:rsidP="00D30923">
      <w:pPr>
        <w:spacing w:after="0" w:line="240" w:lineRule="auto"/>
      </w:pPr>
      <w:r>
        <w:rPr>
          <w:noProof/>
        </w:rPr>
        <w:t xml:space="preserve">Over 50 million Americans are currently living with an autoimmune disorder (AD) which continues to increase. The onset of ADs is driven by various factors, one being the microbiota, a complex network of bacteria in the gastrointestinal tract that dynamically interacts with and is influenced by its host. The microbiota exists in various areas of the body, but the largest population resides within the small and large intestine. Many environmental, genetic, and physiological factors can impact the microbiome, one of which being endocrine disrupting chemicals (EDCs). EDCs impact the body by mimicking, blocking, or altering the body’s natural hormone function. Individuals are exposed to EDCs in everyday life as they are found in contaminated food and water, nonstick pans and plastic utensils, and even in personal care products like makeup and perfumes. This project will examine the complex relationship between the gut microbiota and autoimmunity by analyzing microbiota and EDC exposure in stool and saliva samples; respectively. Surveys around diet, autoimmune diagnosis, antibiotic use, and lifestyle </w:t>
      </w:r>
      <w:r>
        <w:rPr>
          <w:noProof/>
        </w:rPr>
        <w:lastRenderedPageBreak/>
        <w:t>habits will be administered to subjects at the same time as sample collection. We will also collect qualitative data on how navigating the healthcare system and everyday life is impacted by autoimmunity. Additionally, this study aims to increase awareness of ADs through interviews, recognizing the power of lived experiences in fostering understanding, empathy, and advocacy.</w:t>
      </w:r>
    </w:p>
    <w:p w14:paraId="7D4401C6" w14:textId="0E58A6A5"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5050BE8"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P-21</w:t>
      </w:r>
      <w:r>
        <w:rPr>
          <w:b/>
          <w:bCs/>
          <w:sz w:val="26"/>
          <w:szCs w:val="26"/>
        </w:rPr>
        <w:t xml:space="preserve"> </w:t>
      </w:r>
    </w:p>
    <w:p w14:paraId="1DA68A3E" w14:textId="77777777" w:rsidR="00D30923" w:rsidRPr="00971952" w:rsidRDefault="00D30923" w:rsidP="00D30923">
      <w:pPr>
        <w:spacing w:after="0"/>
        <w:jc w:val="center"/>
        <w:rPr>
          <w:b/>
          <w:bCs/>
          <w:sz w:val="26"/>
          <w:szCs w:val="26"/>
        </w:rPr>
      </w:pPr>
      <w:r w:rsidRPr="0092723F">
        <w:rPr>
          <w:b/>
          <w:bCs/>
          <w:noProof/>
          <w:sz w:val="26"/>
          <w:szCs w:val="26"/>
        </w:rPr>
        <w:t xml:space="preserve">Effect of Crassocephalum crepidioides on Growth Factors and Receptors in </w:t>
      </w:r>
      <w:r w:rsidRPr="00141804">
        <w:rPr>
          <w:b/>
          <w:bCs/>
          <w:i/>
          <w:iCs/>
          <w:noProof/>
          <w:sz w:val="26"/>
          <w:szCs w:val="26"/>
        </w:rPr>
        <w:t>Danio rerio</w:t>
      </w:r>
      <w:r w:rsidRPr="0092723F">
        <w:rPr>
          <w:b/>
          <w:bCs/>
          <w:noProof/>
          <w:sz w:val="26"/>
          <w:szCs w:val="26"/>
        </w:rPr>
        <w:t xml:space="preserve"> (zebrafish)</w:t>
      </w:r>
    </w:p>
    <w:p w14:paraId="19122087" w14:textId="77777777" w:rsidR="00D30923" w:rsidRDefault="00D30923" w:rsidP="00D30923">
      <w:pPr>
        <w:spacing w:after="0" w:line="240" w:lineRule="auto"/>
        <w:jc w:val="center"/>
      </w:pPr>
      <w:r>
        <w:rPr>
          <w:noProof/>
        </w:rPr>
        <w:t>Molly Moylan</w:t>
      </w:r>
    </w:p>
    <w:p w14:paraId="677690C4" w14:textId="77777777" w:rsidR="00D30923" w:rsidRDefault="00D30923" w:rsidP="00D30923">
      <w:pPr>
        <w:spacing w:after="0" w:line="240" w:lineRule="auto"/>
        <w:jc w:val="center"/>
      </w:pPr>
      <w:r>
        <w:rPr>
          <w:noProof/>
        </w:rPr>
        <w:t>Elon University</w:t>
      </w:r>
    </w:p>
    <w:p w14:paraId="4A9C921C" w14:textId="77777777" w:rsidR="00D30923" w:rsidRDefault="00D30923" w:rsidP="00D30923">
      <w:pPr>
        <w:spacing w:after="0" w:line="240" w:lineRule="auto"/>
        <w:jc w:val="center"/>
      </w:pPr>
    </w:p>
    <w:p w14:paraId="739E0D04" w14:textId="77777777" w:rsidR="00D30923" w:rsidRDefault="00D30923" w:rsidP="00D30923">
      <w:pPr>
        <w:spacing w:after="0" w:line="240" w:lineRule="auto"/>
      </w:pPr>
      <w:r>
        <w:rPr>
          <w:noProof/>
        </w:rPr>
        <w:t>Herbaceous plants have long been used in traditional medicine, and many show bioactive properties relevant to modern therapeutics. The Vietnamese Montagnard community in Greensboro, North Carolina, uses Crassocephalum crepidioides, or fireweed, as a health remedy, and this tea is consumed by all ages. Previous studies assessed the tea’s efficacy in alleviating dementia symptoms and confirmed its ability to inhibit acetylcholinesterase (AChE), increasing acetylcholine (ACh). While increased ACh may alleviate cognitive symptoms in neurodegenerative conditions, excess ACh during early development has been linked to apoptosis and impaired neurodevelopment. Prior investigations on developmental toxicity of C. crepidioides in larval zebrafish yielded unexpected results, including accelerated hatching and no significant change in full-body apoptosis, contradicting existing literature. To explore a potential developmental mechanism, insulin-like growth factor 1 (IGF-1) signaling was investigated due to its association with cholinergic activity and embryonic growth. In this study, 365 zebrafish embryos were divided into three groups: high extract exposure (1:100), low extract exposure (1:1000), and negative control. Embryos exposed to C. crepidioides extract showed reduced survival rates (high, P = 0.019) (low, P = 0.034) compared to controls and a higher frequency of developmental deformities. However, quantification of IGF-1 via ELISA revealed no significant difference in IGF-1 levels between treated and control groups (P = 0.590), yet growth deformities and survival were still notably affected. Literature suggests disruption of the IGF-1 receptor (IGF-1R) could cause similar defects. As such, a Western blot was used to further investigate the role of IGF-1 signaling by quantifying IGF-1R and IGF-1 protein levels. Results were inconclusive, and further investigation was limited by funding and time. While we have evidence suggesting C. crepidioides extract is linked to developmental abnormalities in embryos, we were unable to determine the cause. Additional Western blots with zebrafish-specific antibodies may clarify whether IGF-1 signaling plays a role.</w:t>
      </w:r>
    </w:p>
    <w:p w14:paraId="11665249" w14:textId="566F9D4B"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354E85D9" w14:textId="77777777" w:rsidR="00561843" w:rsidRDefault="00561843" w:rsidP="00FF7C77">
      <w:pPr>
        <w:jc w:val="center"/>
      </w:pPr>
    </w:p>
    <w:p w14:paraId="457B5F00" w14:textId="77777777" w:rsidR="00561843" w:rsidRDefault="00561843" w:rsidP="00FF7C77">
      <w:pPr>
        <w:jc w:val="center"/>
      </w:pPr>
    </w:p>
    <w:p w14:paraId="1D6F6981"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P-22</w:t>
      </w:r>
      <w:r>
        <w:rPr>
          <w:b/>
          <w:bCs/>
          <w:sz w:val="26"/>
          <w:szCs w:val="26"/>
        </w:rPr>
        <w:t xml:space="preserve"> </w:t>
      </w:r>
    </w:p>
    <w:p w14:paraId="562F2911" w14:textId="77777777" w:rsidR="00D30923" w:rsidRPr="00971952" w:rsidRDefault="00D30923" w:rsidP="00D30923">
      <w:pPr>
        <w:spacing w:after="0"/>
        <w:jc w:val="center"/>
        <w:rPr>
          <w:b/>
          <w:bCs/>
          <w:sz w:val="26"/>
          <w:szCs w:val="26"/>
        </w:rPr>
      </w:pPr>
      <w:r w:rsidRPr="0092723F">
        <w:rPr>
          <w:b/>
          <w:bCs/>
          <w:noProof/>
          <w:sz w:val="26"/>
          <w:szCs w:val="26"/>
        </w:rPr>
        <w:t>Transcriptomic analysis of candidate genes involved in soybean resistance to kudzu bug infestation in edamame</w:t>
      </w:r>
    </w:p>
    <w:p w14:paraId="6A475BA6" w14:textId="77777777" w:rsidR="00D30923" w:rsidRDefault="00D30923" w:rsidP="00D30923">
      <w:pPr>
        <w:spacing w:after="0" w:line="240" w:lineRule="auto"/>
        <w:jc w:val="center"/>
      </w:pPr>
      <w:r>
        <w:rPr>
          <w:noProof/>
        </w:rPr>
        <w:t>Osman, Abigail1*, Skinner-Jones Zoey1, Locklear Rikki1,  Kassem My Abdelmajid1, de Mejia Elvira2, Fallen Ben3, Jiang Guo-Liang4, Yuan Jiazheng (John)1</w:t>
      </w:r>
    </w:p>
    <w:p w14:paraId="4E93CD6A" w14:textId="77777777" w:rsidR="00D30923" w:rsidRDefault="00D30923" w:rsidP="00D30923">
      <w:pPr>
        <w:spacing w:after="0" w:line="240" w:lineRule="auto"/>
        <w:jc w:val="center"/>
      </w:pPr>
      <w:r>
        <w:rPr>
          <w:noProof/>
        </w:rPr>
        <w:t>1.Department of Biological and Forensic Sciences, Fayetteville State University, Fayetteville, NC20348 2.Department of Food Science &amp; Human Nutrition, University of Illinois at Urbana-Champaign, IL61801 3.Soybean and Nitrogen Fixation Research, USDA-ARS,</w:t>
      </w:r>
    </w:p>
    <w:p w14:paraId="173C3ABF" w14:textId="77777777" w:rsidR="00D30923" w:rsidRDefault="00D30923" w:rsidP="00D30923">
      <w:pPr>
        <w:spacing w:after="0" w:line="240" w:lineRule="auto"/>
        <w:jc w:val="center"/>
      </w:pPr>
    </w:p>
    <w:p w14:paraId="7CA65FB0" w14:textId="77777777" w:rsidR="00D30923" w:rsidRDefault="00D30923" w:rsidP="00D30923">
      <w:pPr>
        <w:spacing w:after="0" w:line="240" w:lineRule="auto"/>
      </w:pPr>
      <w:r>
        <w:rPr>
          <w:noProof/>
        </w:rPr>
        <w:t>Soybean (Glycine max [L.] Merr.) consumption is associated with significant health benefits, including reduced risks of obesity, cardiovascular disease, immune disorders, and certain types of cancer. Edamame is a vegetable-type soybean characterized by its large, immature pods harvested at the R6 developmental stage. As consumer’s demand for fresh and frozen edamame continues to rise across the United States, this crop is increasingly recognized as a high-value specialty commodity with strong market potential. However, soybean production is frequently challenged by insect pests such as the kudzu bug (Megacopta cribraria), which can cause significant damage and lead to substantial yield losses. To address this issue, multi-locus genome-wide association study (GWAS) was conducted and identified 17 quantitative trait nucleotides (QTNs) significantly associated with insect resistance, which were distributed across 13 chromosomes. These QTNs explained 0.7–34% of the phenotypic variation, as determined using the R package mrMLM (v4.0). Notably, several QTNs co-localized with previously reported quantitative trait loci (QTLs), further supporting their biological relevance. In addition, transcriptomic analyses were conducted on soybean pods collected from susceptible and resistant lines at the R3 and R6 growth stages during the 2024 growing season at the Central Crops Research Station in Clayton, North Carolina. Our RNA-Seq–based gene expression analysis revealed that most candidate genes underlying the significant QTNs were upregulated at the R6 stage compared to R3. However, there were a few exceptions that were downregulated at the R6 stage, such as ATP-binding/protein serine/threonine kinase and receptor-like kinase genes on chromosome 4, as well as ATP-binding/protein serine/threonine kinase genes on chromosome 5. Overall, these findings suggest that the expression of candidate genes in resistant and susceptible soybean lines is governed by a complex regulatory network of defense-related pathways, highlighting the dynamic molecular mechanisms underlying insect resistance in soybean at different growth stages.</w:t>
      </w:r>
    </w:p>
    <w:p w14:paraId="15B1ECE2" w14:textId="6714AC32"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5A6D7D05" w14:textId="77777777" w:rsidR="00561843" w:rsidRDefault="00561843" w:rsidP="00FF7C77">
      <w:pPr>
        <w:jc w:val="center"/>
      </w:pPr>
    </w:p>
    <w:p w14:paraId="0C127873" w14:textId="77777777" w:rsidR="00561843" w:rsidRDefault="00561843" w:rsidP="00FF7C77">
      <w:pPr>
        <w:jc w:val="center"/>
      </w:pPr>
    </w:p>
    <w:p w14:paraId="0A3B294A" w14:textId="77777777" w:rsidR="00561843" w:rsidRDefault="00561843" w:rsidP="00FF7C77">
      <w:pPr>
        <w:jc w:val="center"/>
      </w:pPr>
    </w:p>
    <w:p w14:paraId="4A085059" w14:textId="77777777" w:rsidR="00561843" w:rsidRDefault="00561843" w:rsidP="00FF7C77">
      <w:pPr>
        <w:jc w:val="center"/>
      </w:pPr>
    </w:p>
    <w:p w14:paraId="65D95D03"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P-23</w:t>
      </w:r>
      <w:r>
        <w:rPr>
          <w:b/>
          <w:bCs/>
          <w:sz w:val="26"/>
          <w:szCs w:val="26"/>
        </w:rPr>
        <w:t xml:space="preserve"> </w:t>
      </w:r>
    </w:p>
    <w:p w14:paraId="5ED21DCB" w14:textId="77777777" w:rsidR="00D30923" w:rsidRPr="00971952" w:rsidRDefault="00D30923" w:rsidP="00D30923">
      <w:pPr>
        <w:spacing w:after="0"/>
        <w:jc w:val="center"/>
        <w:rPr>
          <w:b/>
          <w:bCs/>
          <w:sz w:val="26"/>
          <w:szCs w:val="26"/>
        </w:rPr>
      </w:pPr>
      <w:r w:rsidRPr="0092723F">
        <w:rPr>
          <w:b/>
          <w:bCs/>
          <w:noProof/>
          <w:sz w:val="26"/>
          <w:szCs w:val="26"/>
        </w:rPr>
        <w:t xml:space="preserve">Effects of Turmeric, Ginger and Cinnamon With and Without Sucrose on Survival, Locomotion, and Memory Performance in </w:t>
      </w:r>
      <w:r w:rsidRPr="00141804">
        <w:rPr>
          <w:b/>
          <w:bCs/>
          <w:i/>
          <w:iCs/>
          <w:noProof/>
          <w:sz w:val="26"/>
          <w:szCs w:val="26"/>
        </w:rPr>
        <w:t>Drosophila melanogaster</w:t>
      </w:r>
    </w:p>
    <w:p w14:paraId="3DCDEF8E" w14:textId="77777777" w:rsidR="00D30923" w:rsidRDefault="00D30923" w:rsidP="00D30923">
      <w:pPr>
        <w:spacing w:after="0" w:line="240" w:lineRule="auto"/>
        <w:jc w:val="center"/>
      </w:pPr>
      <w:r>
        <w:rPr>
          <w:noProof/>
        </w:rPr>
        <w:t>Phoncharoensri, Siwat, Patel, Aarav</w:t>
      </w:r>
    </w:p>
    <w:p w14:paraId="206BE943" w14:textId="7F6EBB12" w:rsidR="00D30923" w:rsidRDefault="00D30923" w:rsidP="00D30923">
      <w:pPr>
        <w:spacing w:after="0" w:line="240" w:lineRule="auto"/>
        <w:jc w:val="center"/>
      </w:pPr>
      <w:r>
        <w:rPr>
          <w:noProof/>
        </w:rPr>
        <w:t>North Carolina School of Science and Math Morganton</w:t>
      </w:r>
    </w:p>
    <w:p w14:paraId="66E07E89" w14:textId="77777777" w:rsidR="00D30923" w:rsidRDefault="00D30923" w:rsidP="00D30923">
      <w:pPr>
        <w:spacing w:after="0" w:line="240" w:lineRule="auto"/>
        <w:jc w:val="center"/>
      </w:pPr>
    </w:p>
    <w:p w14:paraId="4D634DBF" w14:textId="77777777" w:rsidR="00D30923" w:rsidRDefault="00D30923" w:rsidP="00D30923">
      <w:pPr>
        <w:spacing w:after="0" w:line="240" w:lineRule="auto"/>
      </w:pPr>
      <w:r>
        <w:rPr>
          <w:noProof/>
        </w:rPr>
        <w:t>Many dietary ingredients may produce changes in health and behaviour even in healthy organisms. In this study, we tested turmeric, ginger and cinnamon supplementation, with or without sucrose, for effects on survival, locomotion and Y-maze memory in Drosophila melanogaster. Adult flies (64 in total, n=8 per group) were maintained on eight diets: yeast-only (−S), yeast+sucrose (+S), and yeast paste supplemented with turmeric, ginger, or cinnamon (each ± sucrose). Survival was recorded every day by counting the number of flies everyday and summerized as the area under the percent survival curve (AUC), with each bar representing one vial. Locomotion was assessed using a negative geotaxis climbing assay (13 cm in 30 seconds; five trials per testing day). Memory was assessed using a Y-maze across four days and recorded as percent correct; because it's a two-choice assay, the chance performance is 50%. Overall survival trends appeared higher in spice-supplemented diets, especially turmeric, but the survival statistics were not performed because of the lack of replication of the experiment. Climbing performance showed many significant results (p-value less than 0.05) across many days, with ginger and cinnamon showing the most significant differences between sucrose and non-sucrose diets. Memory performance was higher on average in spice diets without sucrose compared to controls and spice + sucrose diets. These findings suggest that spice supplementation may support survival and behavioral performance in healthy flies, while sucrose may reduce the benefits of the supplements, consistent with prior work showing that high sucrose diets can induce diabetic like conditions and oxidative stress in Drosophila(4).</w:t>
      </w:r>
    </w:p>
    <w:p w14:paraId="75AA7B84" w14:textId="17E45223"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28515CB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P-24</w:t>
      </w:r>
      <w:r>
        <w:rPr>
          <w:b/>
          <w:bCs/>
          <w:sz w:val="26"/>
          <w:szCs w:val="26"/>
        </w:rPr>
        <w:t xml:space="preserve"> </w:t>
      </w:r>
    </w:p>
    <w:p w14:paraId="545E5901" w14:textId="77777777" w:rsidR="00D30923" w:rsidRPr="00971952" w:rsidRDefault="00D30923" w:rsidP="00D30923">
      <w:pPr>
        <w:spacing w:after="0"/>
        <w:jc w:val="center"/>
        <w:rPr>
          <w:b/>
          <w:bCs/>
          <w:sz w:val="26"/>
          <w:szCs w:val="26"/>
        </w:rPr>
      </w:pPr>
      <w:r w:rsidRPr="0092723F">
        <w:rPr>
          <w:b/>
          <w:bCs/>
          <w:noProof/>
          <w:sz w:val="26"/>
          <w:szCs w:val="26"/>
        </w:rPr>
        <w:t>Physiological Plasticity of Juncus roemerianus: Changes in water relations under combined stressors</w:t>
      </w:r>
    </w:p>
    <w:p w14:paraId="42895F9E" w14:textId="77777777" w:rsidR="00D30923" w:rsidRDefault="00D30923" w:rsidP="00D30923">
      <w:pPr>
        <w:spacing w:after="0" w:line="240" w:lineRule="auto"/>
        <w:jc w:val="center"/>
      </w:pPr>
      <w:r>
        <w:rPr>
          <w:noProof/>
        </w:rPr>
        <w:t>Plut, Spencer, Emily Cashen, Livia Lampal, and Brant Touchette</w:t>
      </w:r>
    </w:p>
    <w:p w14:paraId="2B260B96" w14:textId="77777777" w:rsidR="00D30923" w:rsidRDefault="00D30923" w:rsidP="00D30923">
      <w:pPr>
        <w:spacing w:after="0" w:line="240" w:lineRule="auto"/>
        <w:jc w:val="center"/>
      </w:pPr>
      <w:r>
        <w:rPr>
          <w:noProof/>
        </w:rPr>
        <w:t>Elon University</w:t>
      </w:r>
    </w:p>
    <w:p w14:paraId="6D975580" w14:textId="77777777" w:rsidR="00D30923" w:rsidRDefault="00D30923" w:rsidP="00D30923">
      <w:pPr>
        <w:spacing w:after="0" w:line="240" w:lineRule="auto"/>
        <w:jc w:val="center"/>
      </w:pPr>
    </w:p>
    <w:p w14:paraId="61B811CC" w14:textId="77777777" w:rsidR="00D30923" w:rsidRDefault="00D30923" w:rsidP="00D30923">
      <w:pPr>
        <w:spacing w:after="0" w:line="240" w:lineRule="auto"/>
      </w:pPr>
      <w:r>
        <w:rPr>
          <w:noProof/>
        </w:rPr>
        <w:t xml:space="preserve">Shifts in weather patterns associated with climate change have led to growing interest in defining drought-associated impacts on natural vegetation. Coastal wetlands, which are highly vulnerable to sea-level rise, are also susceptible to episodic drought events. Therefore, the purpose of this study is to understand how low-water availability followed by late season water repletion with freshwater (simulating an extreme precipitation event) or saltwater (simulating a coastal storm surge) would influence plant-water relations in high marsh Juncus roemerianus ecosystems. This study employed experimental microcosms maintained under controlled glasshouse conditions. Plants were acclimated to freshwater </w:t>
      </w:r>
      <w:r>
        <w:rPr>
          <w:noProof/>
        </w:rPr>
        <w:lastRenderedPageBreak/>
        <w:t>for 12-wks prior to initiating experimental treatments (n=5). Treatments included emergent freshwater (FC), freshwater transitioned to saltwater at 6-wks (30 psu; salt control, SC), 3-wk drought followed by freshwater repletion (F3W), 6-wk drought followed by freshwater repletion (F6W), 3-wk drought followed by saltwater inundation (S3W), and 6-wk drought followed by saltwater inundation (S6W). The results indicate that J. roemerianus is highly vulnerable to prolonged droughts, resulting in higher rates of plant mortality. Interestingly, for shorter drought durations (3-wks), plants replenished with saltwater had lower mortality rates compared to those receiving freshwater. Declines in relative water content (q ) and transpiration (g) were observed within 2-wks of drought, with decreasing values as the drought progressed. Lower q fostered decreased water- and xylem-potentials in drought-treated plants, and these values remained lower following saltwater repletion. Collectively, the data suggest that J. roemerianus can tolerate short drought durations but are much more vulnerable to extended drought events.</w:t>
      </w:r>
    </w:p>
    <w:p w14:paraId="6D8FBA84" w14:textId="5F128F3D"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DF33A03"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P-25</w:t>
      </w:r>
      <w:r>
        <w:rPr>
          <w:b/>
          <w:bCs/>
          <w:sz w:val="26"/>
          <w:szCs w:val="26"/>
        </w:rPr>
        <w:t xml:space="preserve"> </w:t>
      </w:r>
    </w:p>
    <w:p w14:paraId="370559D6" w14:textId="77777777" w:rsidR="00D30923" w:rsidRPr="00971952" w:rsidRDefault="00D30923" w:rsidP="00D30923">
      <w:pPr>
        <w:spacing w:after="0"/>
        <w:jc w:val="center"/>
        <w:rPr>
          <w:b/>
          <w:bCs/>
          <w:sz w:val="26"/>
          <w:szCs w:val="26"/>
        </w:rPr>
      </w:pPr>
      <w:r w:rsidRPr="0092723F">
        <w:rPr>
          <w:b/>
          <w:bCs/>
          <w:noProof/>
          <w:sz w:val="26"/>
          <w:szCs w:val="26"/>
        </w:rPr>
        <w:t>Genomic admixture facilitates adaptation in sub-Saharan Africa local pig populations</w:t>
      </w:r>
    </w:p>
    <w:p w14:paraId="63542AED" w14:textId="77777777" w:rsidR="00D30923" w:rsidRDefault="00D30923" w:rsidP="00D30923">
      <w:pPr>
        <w:spacing w:after="0" w:line="240" w:lineRule="auto"/>
        <w:jc w:val="center"/>
      </w:pPr>
      <w:r>
        <w:rPr>
          <w:noProof/>
        </w:rPr>
        <w:t>Zander Sullivan*, Kwame Darfour-Oduro, Laura Lacolina</w:t>
      </w:r>
    </w:p>
    <w:p w14:paraId="2EFFAB2D" w14:textId="77777777" w:rsidR="00D30923" w:rsidRDefault="00D30923" w:rsidP="00D30923">
      <w:pPr>
        <w:spacing w:after="0" w:line="240" w:lineRule="auto"/>
        <w:jc w:val="center"/>
      </w:pPr>
      <w:r>
        <w:rPr>
          <w:noProof/>
        </w:rPr>
        <w:t>University of North Carolina at Greensboro (Zander Sullivan and Kwame Darfour-Oduro), University of Sassari (Laura Lacolina), Aalborg University (Laura Lacolina)</w:t>
      </w:r>
    </w:p>
    <w:p w14:paraId="2156B876" w14:textId="77777777" w:rsidR="00D30923" w:rsidRDefault="00D30923" w:rsidP="00D30923">
      <w:pPr>
        <w:spacing w:after="0" w:line="240" w:lineRule="auto"/>
        <w:jc w:val="center"/>
      </w:pPr>
    </w:p>
    <w:p w14:paraId="16EF5BEA" w14:textId="77777777" w:rsidR="00D30923" w:rsidRDefault="00D30923" w:rsidP="00D30923">
      <w:pPr>
        <w:spacing w:after="0" w:line="240" w:lineRule="auto"/>
      </w:pPr>
      <w:r>
        <w:rPr>
          <w:noProof/>
        </w:rPr>
        <w:t xml:space="preserve">The contribution of the admixed genomes of the local pigs of sub-Saharan Africa to adaptation to environmental and disease stressors is yet to be fully elucidated. In this study, I aimed to delineate the importance of introgressed genomic regions to admixed local pig populations in sub-Saharan Africa. The objectives were to analyze admixture and ancestry patterns of local pig populations in sub-Saharan Africa and investigate ancestral enriched regions for their role in the adaptation of selected African pigs. Genome-wide SNPs data on local pigs from Ghana, Kenya, South Africa respectively were used for this study. Pigs of European and Asian origins were used as ancestral populations. Genome-wide introgression was determined using ADMIXTURE. The results indicated that the local pigs are non-homogenous admixed populations with significant introgression of genes from international commercial pig breeds of Asian and European origins. Genome-wide local ancestry inference in admixed local pig populations revealed several candidate regions that were signiﬁcantly enriched. Pathway and ontology analysis revealed that biological processes are significantly influenced by the introgression of genes of European and Asian ancestry. Analysis of Ashanti Dwarf pigs and Kolbroek pigs revealed enrichment of genes associated with the protein kinase ck2 complex (1050-fold enrichment with -log10(FDR) of 1.57) and Phospholipase D signaling pathway in Ashanti Dwarf pigs and enrichment associated with neuron action potential (19.2-fold enrichment with -log10(FDR) of 1.8) and ear morphogenesis (5.5-fold enrichment with -log10(FDR) of 2.9) in Kolbroek pigs. Analysis of Busia pigs and Windsnyer pigs revealed enrichment of genes associated with keratinization (11.7-fold enrichment with -log10(FDR) of 3.3) in Windsnyer </w:t>
      </w:r>
      <w:r>
        <w:rPr>
          <w:noProof/>
        </w:rPr>
        <w:lastRenderedPageBreak/>
        <w:t>pigs and activated t-cell proliferation (8.8-fold enrichment with -log10(FDR) of 2.4) and glycolipid metabolism in Busia pigs. The presence of enriched introgressed genomic regions in the local pig populations thus serves as a force driving adaptation in local pigs to their environment.</w:t>
      </w:r>
    </w:p>
    <w:p w14:paraId="77A5D9B3" w14:textId="6B2D7D03"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09DA2FC"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P-26</w:t>
      </w:r>
      <w:r>
        <w:rPr>
          <w:b/>
          <w:bCs/>
          <w:sz w:val="26"/>
          <w:szCs w:val="26"/>
        </w:rPr>
        <w:t xml:space="preserve"> </w:t>
      </w:r>
    </w:p>
    <w:p w14:paraId="2A827A3C" w14:textId="77777777" w:rsidR="00D30923" w:rsidRPr="00971952" w:rsidRDefault="00D30923" w:rsidP="00D30923">
      <w:pPr>
        <w:spacing w:after="0"/>
        <w:jc w:val="center"/>
        <w:rPr>
          <w:b/>
          <w:bCs/>
          <w:sz w:val="26"/>
          <w:szCs w:val="26"/>
        </w:rPr>
      </w:pPr>
      <w:r w:rsidRPr="0092723F">
        <w:rPr>
          <w:b/>
          <w:bCs/>
          <w:noProof/>
          <w:sz w:val="26"/>
          <w:szCs w:val="26"/>
        </w:rPr>
        <w:t>Hemagglutination of mammalian erythrocytes by cooking oils depend on fatty acid unsaturation</w:t>
      </w:r>
    </w:p>
    <w:p w14:paraId="6A981DB8" w14:textId="77777777" w:rsidR="00D30923" w:rsidRDefault="00D30923" w:rsidP="00D30923">
      <w:pPr>
        <w:spacing w:after="0" w:line="240" w:lineRule="auto"/>
        <w:jc w:val="center"/>
      </w:pPr>
      <w:r>
        <w:rPr>
          <w:noProof/>
        </w:rPr>
        <w:t>Hansen, Susan, Darryl K. Bing, Ph.D.</w:t>
      </w:r>
    </w:p>
    <w:p w14:paraId="68B91873" w14:textId="77777777" w:rsidR="00D30923" w:rsidRDefault="00D30923" w:rsidP="00D30923">
      <w:pPr>
        <w:spacing w:after="0" w:line="240" w:lineRule="auto"/>
        <w:jc w:val="center"/>
      </w:pPr>
      <w:r>
        <w:rPr>
          <w:noProof/>
        </w:rPr>
        <w:t>Durham Technical Community College</w:t>
      </w:r>
    </w:p>
    <w:p w14:paraId="1FEBD03E" w14:textId="77777777" w:rsidR="00D30923" w:rsidRDefault="00D30923" w:rsidP="00D30923">
      <w:pPr>
        <w:spacing w:after="0" w:line="240" w:lineRule="auto"/>
        <w:jc w:val="center"/>
      </w:pPr>
    </w:p>
    <w:p w14:paraId="34A0938B" w14:textId="77777777" w:rsidR="00D30923" w:rsidRDefault="00D30923" w:rsidP="00D30923">
      <w:pPr>
        <w:spacing w:after="0" w:line="240" w:lineRule="auto"/>
        <w:rPr>
          <w:noProof/>
        </w:rPr>
      </w:pPr>
      <w:r>
        <w:rPr>
          <w:noProof/>
        </w:rPr>
        <w:t xml:space="preserve">Unsaturated fatty acids high in oleic acid, like olive oil, are associated with health benefits.  Yet, it has been shown that when heated, oleic acid undergoes thermal oxidation and induces hemagglutination in mammalian erythrocytes. Previously, this lab has shown that while not as efficient at hemagglutination as pure oleic acid, olive oil – which has an oleic acid content ranging between 55 – 85%, was still observed to induce agglutination. </w:t>
      </w:r>
    </w:p>
    <w:p w14:paraId="0F491E1B" w14:textId="77777777" w:rsidR="00D30923" w:rsidRDefault="00D30923" w:rsidP="00D30923">
      <w:pPr>
        <w:spacing w:after="0" w:line="240" w:lineRule="auto"/>
        <w:rPr>
          <w:noProof/>
        </w:rPr>
      </w:pPr>
      <w:r>
        <w:rPr>
          <w:noProof/>
        </w:rPr>
        <w:t xml:space="preserve">The focus of this research is two-fold. It is this lab’s hypothesis that hemagglutination id largely due in part to the presence of oleic acid. Other cooking oils that have significant concentrations of oleic acid will be identified. Titrimetric analyses of the cooking oils will be performed to determine their level of unsaturation (a.k.a. the Iodine Number). Next, assays with the cooking oils will be performed to determine their potential to act as agglutinating agents. Upon completion, the titer for each oil – i.e.) the minimum concentration of each oil required to induce agglutination will be calculated. </w:t>
      </w:r>
    </w:p>
    <w:p w14:paraId="0314A6C9" w14:textId="77777777" w:rsidR="00D30923" w:rsidRDefault="00D30923" w:rsidP="00D30923">
      <w:pPr>
        <w:spacing w:after="0" w:line="240" w:lineRule="auto"/>
      </w:pPr>
      <w:r>
        <w:rPr>
          <w:noProof/>
        </w:rPr>
        <w:t>Since lipid-induced hemagglutination appears to be dependent on the level of unsaturation, attempts will be made to reduce the C=C double bond of oleic acid. Reduction of the single double bond of oleic acid should yield stearic acid. Agglutination assays with both reduced oleic acid and stearic acid will be performed and the results will be compared.</w:t>
      </w:r>
    </w:p>
    <w:p w14:paraId="4A4F309B" w14:textId="4F9118BC"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5B087E01"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P-27</w:t>
      </w:r>
      <w:r>
        <w:rPr>
          <w:b/>
          <w:bCs/>
          <w:sz w:val="26"/>
          <w:szCs w:val="26"/>
        </w:rPr>
        <w:t xml:space="preserve"> </w:t>
      </w:r>
    </w:p>
    <w:p w14:paraId="6FD6D915" w14:textId="77777777" w:rsidR="00D30923" w:rsidRPr="00971952" w:rsidRDefault="00D30923" w:rsidP="00D30923">
      <w:pPr>
        <w:spacing w:after="0"/>
        <w:jc w:val="center"/>
        <w:rPr>
          <w:b/>
          <w:bCs/>
          <w:sz w:val="26"/>
          <w:szCs w:val="26"/>
        </w:rPr>
      </w:pPr>
      <w:r w:rsidRPr="0092723F">
        <w:rPr>
          <w:b/>
          <w:bCs/>
          <w:noProof/>
          <w:sz w:val="26"/>
          <w:szCs w:val="26"/>
        </w:rPr>
        <w:t>Optimization of Oxone-mediated epoxidation of alkenes for a pedagogical organic laboratory</w:t>
      </w:r>
    </w:p>
    <w:p w14:paraId="2052E9FA" w14:textId="77777777" w:rsidR="00D30923" w:rsidRDefault="00D30923" w:rsidP="00D30923">
      <w:pPr>
        <w:spacing w:after="0" w:line="240" w:lineRule="auto"/>
        <w:jc w:val="center"/>
      </w:pPr>
      <w:r>
        <w:rPr>
          <w:noProof/>
        </w:rPr>
        <w:t>Karn, Avanya P.*, Jesse J. Perez, Sarah K. Goforth</w:t>
      </w:r>
    </w:p>
    <w:p w14:paraId="27E6CC4D" w14:textId="77777777" w:rsidR="00D30923" w:rsidRDefault="00D30923" w:rsidP="00D30923">
      <w:pPr>
        <w:spacing w:after="0" w:line="240" w:lineRule="auto"/>
        <w:jc w:val="center"/>
      </w:pPr>
      <w:r>
        <w:rPr>
          <w:noProof/>
        </w:rPr>
        <w:t>Campbell University</w:t>
      </w:r>
    </w:p>
    <w:p w14:paraId="5C386D74" w14:textId="77777777" w:rsidR="00D30923" w:rsidRDefault="00D30923" w:rsidP="00D30923">
      <w:pPr>
        <w:spacing w:after="0" w:line="240" w:lineRule="auto"/>
        <w:jc w:val="center"/>
      </w:pPr>
    </w:p>
    <w:p w14:paraId="7BCBDFEA" w14:textId="77777777" w:rsidR="00D30923" w:rsidRDefault="00D30923" w:rsidP="00D30923">
      <w:pPr>
        <w:spacing w:after="0" w:line="240" w:lineRule="auto"/>
      </w:pPr>
      <w:r>
        <w:rPr>
          <w:noProof/>
        </w:rPr>
        <w:t xml:space="preserve">An alkene epoxidation reaction is being developed for use in a pedagogical organic laboratory. Oxidants H₂O₂, mCPBA, and Oxone were previously reported in the literature for use in pedagogical alkene oxidation experiments. We tested similar oxidation conditions, and applied them on a different substrate trans-stilbene. In initial trials, trans-stilbene was successfully transformed into trans-stilbene oxide, but with low conversion. The highest conversion of ~28% was observed using Oxone, so it was selected as the oxidant for further </w:t>
      </w:r>
      <w:r>
        <w:rPr>
          <w:noProof/>
        </w:rPr>
        <w:lastRenderedPageBreak/>
        <w:t>trials. In an effort to improve conversion, the conditions for the epoxidation were optimized according to variables including time, temperature, reagent amount, Oxone addition method, and reaction vessel type. Progress of reaction trials was often monitored by thin-layer chromatography (TLC), while product identity and conversion were evaluated by ¹H NMR, FT-IR spectroscopy, and melting point (MP).</w:t>
      </w:r>
    </w:p>
    <w:p w14:paraId="575A1FF9" w14:textId="702C037A"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78978FC"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P-28</w:t>
      </w:r>
      <w:r>
        <w:rPr>
          <w:b/>
          <w:bCs/>
          <w:sz w:val="26"/>
          <w:szCs w:val="26"/>
        </w:rPr>
        <w:t xml:space="preserve"> </w:t>
      </w:r>
    </w:p>
    <w:p w14:paraId="2FF33A1C" w14:textId="77777777" w:rsidR="00D30923" w:rsidRPr="00971952" w:rsidRDefault="00D30923" w:rsidP="00D30923">
      <w:pPr>
        <w:spacing w:after="0"/>
        <w:jc w:val="center"/>
        <w:rPr>
          <w:b/>
          <w:bCs/>
          <w:sz w:val="26"/>
          <w:szCs w:val="26"/>
        </w:rPr>
      </w:pPr>
      <w:r w:rsidRPr="0092723F">
        <w:rPr>
          <w:b/>
          <w:bCs/>
          <w:noProof/>
          <w:sz w:val="26"/>
          <w:szCs w:val="26"/>
        </w:rPr>
        <w:t>Oxidation Ring-fused Pyrroles to access Novel Lactones and Imides</w:t>
      </w:r>
    </w:p>
    <w:p w14:paraId="2109007E" w14:textId="77777777" w:rsidR="00D30923" w:rsidRDefault="00D30923" w:rsidP="00D30923">
      <w:pPr>
        <w:spacing w:after="0" w:line="240" w:lineRule="auto"/>
        <w:jc w:val="center"/>
      </w:pPr>
      <w:r>
        <w:rPr>
          <w:noProof/>
        </w:rPr>
        <w:t>Matthew Martinez*, Francisco D. Grandecortes,  and Sezgin Kiren</w:t>
      </w:r>
    </w:p>
    <w:p w14:paraId="71649DB7" w14:textId="77777777" w:rsidR="00D30923" w:rsidRDefault="00D30923" w:rsidP="00D30923">
      <w:pPr>
        <w:spacing w:after="0" w:line="240" w:lineRule="auto"/>
        <w:jc w:val="center"/>
      </w:pPr>
      <w:r>
        <w:rPr>
          <w:noProof/>
        </w:rPr>
        <w:t>Winston Salem State University</w:t>
      </w:r>
    </w:p>
    <w:p w14:paraId="3C035B4F" w14:textId="77777777" w:rsidR="00D30923" w:rsidRDefault="00D30923" w:rsidP="00D30923">
      <w:pPr>
        <w:spacing w:after="0" w:line="240" w:lineRule="auto"/>
        <w:jc w:val="center"/>
      </w:pPr>
    </w:p>
    <w:p w14:paraId="67D2B9D7" w14:textId="77777777" w:rsidR="00D30923" w:rsidRDefault="00D30923" w:rsidP="00D30923">
      <w:pPr>
        <w:spacing w:after="0" w:line="240" w:lineRule="auto"/>
      </w:pPr>
      <w:r>
        <w:rPr>
          <w:noProof/>
        </w:rPr>
        <w:t>The goal of the presented research is to synthesize novel cyclic imides and lactams from oxidation of pyrroles and modify them into more complex structures using simple chemical transformations. In this approach, these unique building blocks hosting cyclic imides and lactams will be rapidly and efficiently generated from easily or commercially available low-cost starting materials and processes, and thus are expected to find applications in pharmaceutical chemistry, agrochemistry, materials chemistry, natural products synthesis, and many other fields.1</w:t>
      </w:r>
    </w:p>
    <w:p w14:paraId="1A306CA3" w14:textId="7EDAC9DA"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EC46289"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P-29</w:t>
      </w:r>
      <w:r>
        <w:rPr>
          <w:b/>
          <w:bCs/>
          <w:sz w:val="26"/>
          <w:szCs w:val="26"/>
        </w:rPr>
        <w:t xml:space="preserve"> </w:t>
      </w:r>
    </w:p>
    <w:p w14:paraId="5F04F9E2" w14:textId="77777777" w:rsidR="00D30923" w:rsidRPr="00971952" w:rsidRDefault="00D30923" w:rsidP="00D30923">
      <w:pPr>
        <w:spacing w:after="0"/>
        <w:jc w:val="center"/>
        <w:rPr>
          <w:b/>
          <w:bCs/>
          <w:sz w:val="26"/>
          <w:szCs w:val="26"/>
        </w:rPr>
      </w:pPr>
      <w:r w:rsidRPr="0092723F">
        <w:rPr>
          <w:b/>
          <w:bCs/>
          <w:noProof/>
          <w:sz w:val="26"/>
          <w:szCs w:val="26"/>
        </w:rPr>
        <w:t>Tandem Heck-intramolecular cyclization to indoles catalyzed by palladium nanoparticles supported on multi-walled carbon nanotubes</w:t>
      </w:r>
    </w:p>
    <w:p w14:paraId="5CF34451" w14:textId="77777777" w:rsidR="00D30923" w:rsidRDefault="00D30923" w:rsidP="00D30923">
      <w:pPr>
        <w:spacing w:after="0" w:line="240" w:lineRule="auto"/>
        <w:jc w:val="center"/>
      </w:pPr>
      <w:r>
        <w:rPr>
          <w:noProof/>
        </w:rPr>
        <w:t>Estes-Webb, Zoie*, Ali R. Siamaki</w:t>
      </w:r>
    </w:p>
    <w:p w14:paraId="7B90C2DF" w14:textId="77777777" w:rsidR="00D30923" w:rsidRDefault="00D30923" w:rsidP="00D30923">
      <w:pPr>
        <w:spacing w:after="0" w:line="240" w:lineRule="auto"/>
        <w:jc w:val="center"/>
      </w:pPr>
      <w:r>
        <w:rPr>
          <w:noProof/>
        </w:rPr>
        <w:t>Fayetteville State University</w:t>
      </w:r>
    </w:p>
    <w:p w14:paraId="7B90D0FB" w14:textId="77777777" w:rsidR="00D30923" w:rsidRDefault="00D30923" w:rsidP="00D30923">
      <w:pPr>
        <w:spacing w:after="0" w:line="240" w:lineRule="auto"/>
        <w:jc w:val="center"/>
      </w:pPr>
    </w:p>
    <w:p w14:paraId="7DAE23A4" w14:textId="77777777" w:rsidR="00D30923" w:rsidRDefault="00D30923" w:rsidP="00D30923">
      <w:pPr>
        <w:spacing w:after="0" w:line="240" w:lineRule="auto"/>
      </w:pPr>
      <w:r>
        <w:rPr>
          <w:noProof/>
        </w:rPr>
        <w:t xml:space="preserve">Heterocyclic compounds such as indoles have proved to be one of the most significant and biologically active core structures in natural products and pharmaceutically active compounds. lndole moieties are also important structures in optoelectronic applications such as fluorescence polymer sensors, organic light-emitting diodes (OLEDs), field-effect transistors, organic solid-state lasers, and many others. In light of their wide use, many synthetic approaches have been developed to generate these heterocycles. This includes traditional Fischer indole synthesis using phenylhydrazine with aldehyde and ketones, metal catalyzed intramolecular cyclization of the corresponding amines, aerobic oxidation of the C-N bond, and the ruthenium catalyzed photocatalytic methods. Alternatively, tandem transition metal mediated Heck and Sonogashira cross-coupling/cyclization reactions of 2-haloanilines with alkenes or terminal alkynes provides a direct, efficient, and intriguing approach to construct these heterocycles. In this work, we report the preparation of highly active palladium nanoparticles supported on multi-walled carbon nanotubes (Pd/MWCNTs) by mechanochemical ball-mill shaking of the corresponding palladium salt and multi-walled carbon nanotubes at ambient temperature. The nanoparticles prepared by this method exhibited small particles size of 5-8 nm with uniform dispersion of </w:t>
      </w:r>
      <w:r>
        <w:rPr>
          <w:noProof/>
        </w:rPr>
        <w:lastRenderedPageBreak/>
        <w:t>palladium nanoparticles on the surface of carbon nanotubes. The as-prepared Pd/MWCNTs nanoparticles were used in tandem Heck/cyclization of the corresponding 2-iodoaniline and styrene to provide the 2-substitued indoles. Further optimization of the method including the reaction time, temperature, solvent, and catalyst concentration to provide a direct, facile, and affordable route to indoles will be discussed in this presentation.</w:t>
      </w:r>
    </w:p>
    <w:p w14:paraId="1C9A5187" w14:textId="1BCE9F3C"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73660C3"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P-30</w:t>
      </w:r>
      <w:r>
        <w:rPr>
          <w:b/>
          <w:bCs/>
          <w:sz w:val="26"/>
          <w:szCs w:val="26"/>
        </w:rPr>
        <w:t xml:space="preserve"> </w:t>
      </w:r>
    </w:p>
    <w:p w14:paraId="2C2B05F0" w14:textId="77777777" w:rsidR="00D30923" w:rsidRPr="00971952" w:rsidRDefault="00D30923" w:rsidP="00D30923">
      <w:pPr>
        <w:spacing w:after="0"/>
        <w:jc w:val="center"/>
        <w:rPr>
          <w:b/>
          <w:bCs/>
          <w:sz w:val="26"/>
          <w:szCs w:val="26"/>
        </w:rPr>
      </w:pPr>
      <w:r w:rsidRPr="0092723F">
        <w:rPr>
          <w:b/>
          <w:bCs/>
          <w:noProof/>
          <w:sz w:val="26"/>
          <w:szCs w:val="26"/>
        </w:rPr>
        <w:t>Synthesis of Novel Indolizines for Regenerative Medicine</w:t>
      </w:r>
    </w:p>
    <w:p w14:paraId="098F8DA6" w14:textId="77777777" w:rsidR="00D30923" w:rsidRDefault="00D30923" w:rsidP="00D30923">
      <w:pPr>
        <w:spacing w:after="0" w:line="240" w:lineRule="auto"/>
        <w:jc w:val="center"/>
      </w:pPr>
      <w:r>
        <w:rPr>
          <w:noProof/>
        </w:rPr>
        <w:t>Fulp, Kalysia A.*, Aisha Yakubu, Francisco D. Grandecortes, Sezgin Kiren</w:t>
      </w:r>
    </w:p>
    <w:p w14:paraId="6339DB64" w14:textId="77777777" w:rsidR="00D30923" w:rsidRDefault="00D30923" w:rsidP="00D30923">
      <w:pPr>
        <w:spacing w:after="0" w:line="240" w:lineRule="auto"/>
        <w:jc w:val="center"/>
      </w:pPr>
      <w:r>
        <w:rPr>
          <w:noProof/>
        </w:rPr>
        <w:t>Winston Salem State University</w:t>
      </w:r>
    </w:p>
    <w:p w14:paraId="3DA26D1C" w14:textId="77777777" w:rsidR="00D30923" w:rsidRDefault="00D30923" w:rsidP="00D30923">
      <w:pPr>
        <w:spacing w:after="0" w:line="240" w:lineRule="auto"/>
        <w:jc w:val="center"/>
      </w:pPr>
    </w:p>
    <w:p w14:paraId="1B40A696" w14:textId="77777777" w:rsidR="00D30923" w:rsidRDefault="00D30923" w:rsidP="00D30923">
      <w:pPr>
        <w:spacing w:after="0" w:line="240" w:lineRule="auto"/>
        <w:rPr>
          <w:noProof/>
        </w:rPr>
      </w:pPr>
      <w:r>
        <w:rPr>
          <w:noProof/>
        </w:rPr>
        <w:t>Regenerative medicine aims to restore or replace damaged tissues by promoting cellular repair, proliferation, and differentiation. Despite significant advances, there remains a critical need for small molecules that can effectively modulate biological pathways involved in tissue regeneration.</w:t>
      </w:r>
    </w:p>
    <w:p w14:paraId="1A43930C" w14:textId="77777777" w:rsidR="00D30923" w:rsidRDefault="00D30923" w:rsidP="00D30923">
      <w:pPr>
        <w:spacing w:after="0" w:line="240" w:lineRule="auto"/>
      </w:pPr>
      <w:r>
        <w:rPr>
          <w:noProof/>
        </w:rPr>
        <w:t>Indolizines are nitrogen-containing bicyclic heterocycles that have attracted increasing attention due to their structural versatility and diverse biological activities. Their rigid, planar scaffold enables interactions with a variety of biological targets, making them promising candidates for therapeutic development.</w:t>
      </w:r>
    </w:p>
    <w:p w14:paraId="2D6D02EF" w14:textId="2AB2DF7F"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4A1660EB"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P-31</w:t>
      </w:r>
      <w:r>
        <w:rPr>
          <w:b/>
          <w:bCs/>
          <w:sz w:val="26"/>
          <w:szCs w:val="26"/>
        </w:rPr>
        <w:t xml:space="preserve"> </w:t>
      </w:r>
    </w:p>
    <w:p w14:paraId="5790E5E5" w14:textId="77777777" w:rsidR="00D30923" w:rsidRPr="00971952" w:rsidRDefault="00D30923" w:rsidP="00D30923">
      <w:pPr>
        <w:spacing w:after="0"/>
        <w:jc w:val="center"/>
        <w:rPr>
          <w:b/>
          <w:bCs/>
          <w:sz w:val="26"/>
          <w:szCs w:val="26"/>
        </w:rPr>
      </w:pPr>
      <w:r w:rsidRPr="0092723F">
        <w:rPr>
          <w:b/>
          <w:bCs/>
          <w:noProof/>
          <w:sz w:val="26"/>
          <w:szCs w:val="26"/>
        </w:rPr>
        <w:t>Order Matters: Sequence-Dependent Effects of Methotrexate and JQ1 in Oral Squamous Cell Carcinoma</w:t>
      </w:r>
    </w:p>
    <w:p w14:paraId="6CD069D1" w14:textId="77777777" w:rsidR="00D30923" w:rsidRDefault="00D30923" w:rsidP="00D30923">
      <w:pPr>
        <w:spacing w:after="0" w:line="240" w:lineRule="auto"/>
        <w:jc w:val="center"/>
      </w:pPr>
      <w:r>
        <w:rPr>
          <w:noProof/>
        </w:rPr>
        <w:t>Tanner, Reagan*, Mary McManamy</w:t>
      </w:r>
    </w:p>
    <w:p w14:paraId="127858C9" w14:textId="77777777" w:rsidR="00D30923" w:rsidRDefault="00D30923" w:rsidP="00D30923">
      <w:pPr>
        <w:spacing w:after="0" w:line="240" w:lineRule="auto"/>
        <w:jc w:val="center"/>
      </w:pPr>
      <w:r>
        <w:rPr>
          <w:noProof/>
        </w:rPr>
        <w:t>Elon University</w:t>
      </w:r>
    </w:p>
    <w:p w14:paraId="2DF2D330" w14:textId="77777777" w:rsidR="00D30923" w:rsidRDefault="00D30923" w:rsidP="00D30923">
      <w:pPr>
        <w:spacing w:after="0" w:line="240" w:lineRule="auto"/>
        <w:jc w:val="center"/>
      </w:pPr>
    </w:p>
    <w:p w14:paraId="579CACCE" w14:textId="77777777" w:rsidR="00D30923" w:rsidRDefault="00D30923" w:rsidP="00D30923">
      <w:pPr>
        <w:spacing w:after="0" w:line="240" w:lineRule="auto"/>
      </w:pPr>
      <w:r>
        <w:rPr>
          <w:noProof/>
        </w:rPr>
        <w:t xml:space="preserve">Oral Squamous Cell Carcinoma (OSCC) remains a major global health burden, with high morbidity and mortality despite advances in surgery and chemotherapy. Treatment failure is often driven by intrinsic and acquired chemoresistance, emphasizing the need for rational combination therapies. Methotrexate (MTX), a chemotherapeutic that inhibits nucleotide synthesis by blocking folate metabolism, is widely used but limited by resistance. JQ1 is a small-molecule inhibitor of BET (bromodomain and extra-terminal) proteins that regulate oncogenic transcription programs. Because MTX disrupts cellular metabolism while JQ1 suppresses transcriptional drivers of tumour survival, their combination may enhance therapeutic efficacy. This study examined whether sequence-dependent drug administration alters treatment response in resistant OSCC models. CAL-27 and OECM-1 cell lines were treated with single-agent MTX (0.8 </w:t>
      </w:r>
      <w:r>
        <w:rPr>
          <w:noProof/>
        </w:rPr>
        <w:t xml:space="preserve">M) or JQ1 (2.0 mM), simultaneous combination therapy, or sequential regimens in different orders. Cellular viability was measured using the CellTiter-Glo Luminescent Assay, which quantifies intracellular ATP as an indicator of metabolically active cells.  Compared to untreated </w:t>
      </w:r>
      <w:r>
        <w:rPr>
          <w:noProof/>
        </w:rPr>
        <w:lastRenderedPageBreak/>
        <w:t>controls, OECM-1 cells primed with JQ1 for 24 hours followed by MTX for 48 hours showed the lowest viability (0.856%), outperforming single-agent treatments, simultaneous exposure, non-primed sequences, and the reverse order. CAL-27 cells demonstrated a similar trend, with the JQ1-to-MTX sequence producing the lowest viability (0.900%) relative to other conditions.  These findings indicate that drug sequencing significantly influences therapeutic response in resistant OSCC models. Targeting both metabolic pathways and transcriptional regulation through optimized sequencing may improve treatment outcomes and represents a promising strategy for overcoming chemoresistance in oral cancer.  Further investigation into underlying molecular mechanisms and in vivo validation will be essential to translate these findings into clinical practice. Sequence-optimized regimens could inform precision oncology approaches and guide future therapeutic development, ultimately improving patient survival and quality of life in OSCC populations while strengthening evidence for sequencing-based strategies in resistant cancers overall in clinical settings.</w:t>
      </w:r>
    </w:p>
    <w:p w14:paraId="309E48E8" w14:textId="237AF37B"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435FBF9A"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P-32</w:t>
      </w:r>
      <w:r>
        <w:rPr>
          <w:b/>
          <w:bCs/>
          <w:sz w:val="26"/>
          <w:szCs w:val="26"/>
        </w:rPr>
        <w:t xml:space="preserve"> </w:t>
      </w:r>
    </w:p>
    <w:p w14:paraId="4B46502F" w14:textId="77777777" w:rsidR="00D30923" w:rsidRPr="00971952" w:rsidRDefault="00D30923" w:rsidP="00D30923">
      <w:pPr>
        <w:spacing w:after="0"/>
        <w:jc w:val="center"/>
        <w:rPr>
          <w:b/>
          <w:bCs/>
          <w:sz w:val="26"/>
          <w:szCs w:val="26"/>
        </w:rPr>
      </w:pPr>
      <w:r w:rsidRPr="0092723F">
        <w:rPr>
          <w:b/>
          <w:bCs/>
          <w:noProof/>
          <w:sz w:val="26"/>
          <w:szCs w:val="26"/>
        </w:rPr>
        <w:t>Enhancing chemotherapeutic synergy in oral squamous cell carcinoma using melittin</w:t>
      </w:r>
    </w:p>
    <w:p w14:paraId="637F01B9" w14:textId="77777777" w:rsidR="00D30923" w:rsidRDefault="00D30923" w:rsidP="00D30923">
      <w:pPr>
        <w:spacing w:after="0" w:line="240" w:lineRule="auto"/>
        <w:jc w:val="center"/>
      </w:pPr>
      <w:r>
        <w:rPr>
          <w:noProof/>
        </w:rPr>
        <w:t>Wall, Sophia*, McManamy, Mary</w:t>
      </w:r>
    </w:p>
    <w:p w14:paraId="1A721091" w14:textId="77777777" w:rsidR="00D30923" w:rsidRDefault="00D30923" w:rsidP="00D30923">
      <w:pPr>
        <w:spacing w:after="0" w:line="240" w:lineRule="auto"/>
        <w:jc w:val="center"/>
      </w:pPr>
      <w:r>
        <w:rPr>
          <w:noProof/>
        </w:rPr>
        <w:t>Elon University</w:t>
      </w:r>
    </w:p>
    <w:p w14:paraId="24F255E8" w14:textId="77777777" w:rsidR="00D30923" w:rsidRDefault="00D30923" w:rsidP="00D30923">
      <w:pPr>
        <w:spacing w:after="0" w:line="240" w:lineRule="auto"/>
        <w:jc w:val="center"/>
      </w:pPr>
    </w:p>
    <w:p w14:paraId="7FD666D7" w14:textId="77777777" w:rsidR="00D30923" w:rsidRDefault="00D30923" w:rsidP="00D30923">
      <w:pPr>
        <w:spacing w:after="0" w:line="240" w:lineRule="auto"/>
      </w:pPr>
      <w:r>
        <w:rPr>
          <w:noProof/>
        </w:rPr>
        <w:t>Oral squamous cell carcinoma (OSCC) is the most common cancer of the oral cavity and continues to have high mortality rates due to its later diagnosis and limited effectiveness of current chemotherapy treatments. Methotrexate (MTX) is a widely used chemotherapy drug for treating oral and head and neck cancers because it interferes with DNA synthesis and slows cell growth. In addition to conventional chemotherapy, natural compounds are also being studied for their potential role in cancer treatment. Melittin, a peptide derived from bee venom, has shown promising anticancer activity in breast, gastric, colorectal, liver, ovarian, cervical, and prostate cancer models. Research in squamous carcinoma models has also shown that melittin can slow cell growth and increase apoptotic signaling. This study investigates whether adding melittin can increase the effectiveness of MTX in oral squamous cell carcinoma cell lines CAL-27 and OECM-1. Cells will be treated with MTX alone, melittin alone, and sequential combinations of both agents. Cell viability will be measured using a metabolic assay to determine whether combination treatment reduces cancer cell survival more effectively than single-agent therapy. By evaluating how a conventional chemotherapy drug interacts with a naturally derived peptide, this research aims to determine whether combining these agents may improve treatment response in OSCC and contribute to the development of more effective combination therapies for oral cancer.</w:t>
      </w:r>
    </w:p>
    <w:p w14:paraId="5F3443D5" w14:textId="012E90BC"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78CCF6E7" w14:textId="77777777" w:rsidR="006B6F01" w:rsidRPr="00FF7C77" w:rsidRDefault="006B6F01" w:rsidP="00FF7C77">
      <w:pPr>
        <w:jc w:val="center"/>
        <w:rPr>
          <w:rFonts w:ascii="Calibri" w:hAnsi="Calibri" w:cs="Calibri"/>
          <w:b/>
          <w:bCs/>
          <w:color w:val="000000"/>
          <w:kern w:val="0"/>
          <w:sz w:val="22"/>
          <w:szCs w:val="22"/>
        </w:rPr>
      </w:pPr>
    </w:p>
    <w:p w14:paraId="731B3AC9"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P-33</w:t>
      </w:r>
      <w:r>
        <w:rPr>
          <w:b/>
          <w:bCs/>
          <w:sz w:val="26"/>
          <w:szCs w:val="26"/>
        </w:rPr>
        <w:t xml:space="preserve"> </w:t>
      </w:r>
    </w:p>
    <w:p w14:paraId="76AB2D3F" w14:textId="77777777" w:rsidR="00D30923" w:rsidRPr="00971952" w:rsidRDefault="00D30923" w:rsidP="00D30923">
      <w:pPr>
        <w:spacing w:after="0"/>
        <w:jc w:val="center"/>
        <w:rPr>
          <w:b/>
          <w:bCs/>
          <w:sz w:val="26"/>
          <w:szCs w:val="26"/>
        </w:rPr>
      </w:pPr>
      <w:r w:rsidRPr="0092723F">
        <w:rPr>
          <w:b/>
          <w:bCs/>
          <w:noProof/>
          <w:sz w:val="26"/>
          <w:szCs w:val="26"/>
        </w:rPr>
        <w:t>Efficient Solution-Phase Synthesis of the DNA Fluoropyrimidine Polymer CF10 using MPEG5000</w:t>
      </w:r>
    </w:p>
    <w:p w14:paraId="1FF3D063" w14:textId="77777777" w:rsidR="00D30923" w:rsidRDefault="00D30923" w:rsidP="00D30923">
      <w:pPr>
        <w:spacing w:after="0" w:line="240" w:lineRule="auto"/>
        <w:jc w:val="center"/>
      </w:pPr>
      <w:r>
        <w:rPr>
          <w:noProof/>
        </w:rPr>
        <w:t>Grandecortes, F. D.*, Olcay Boyacioglu, Alex Chavez, Sezgin Kiren, William H, Gmeiner</w:t>
      </w:r>
    </w:p>
    <w:p w14:paraId="678E1B3D" w14:textId="77777777" w:rsidR="00D30923" w:rsidRDefault="00D30923" w:rsidP="00D30923">
      <w:pPr>
        <w:spacing w:after="0" w:line="240" w:lineRule="auto"/>
        <w:jc w:val="center"/>
      </w:pPr>
      <w:r>
        <w:rPr>
          <w:noProof/>
        </w:rPr>
        <w:t>Winston Salem State University and Wake Forest University</w:t>
      </w:r>
    </w:p>
    <w:p w14:paraId="51B7D29E" w14:textId="77777777" w:rsidR="00D30923" w:rsidRDefault="00D30923" w:rsidP="00D30923">
      <w:pPr>
        <w:spacing w:after="0" w:line="240" w:lineRule="auto"/>
        <w:jc w:val="center"/>
      </w:pPr>
    </w:p>
    <w:p w14:paraId="1417E0FA" w14:textId="77777777" w:rsidR="00D30923" w:rsidRDefault="00D30923" w:rsidP="00D30923">
      <w:pPr>
        <w:spacing w:after="0" w:line="240" w:lineRule="auto"/>
      </w:pPr>
      <w:r>
        <w:rPr>
          <w:noProof/>
        </w:rPr>
        <w:t>The 2nd generation fluoropyrimidine (FP) polymer CF10 shows markedly improved potency relative to FP drugs used clinically. To enable advanced pre-clinical development and initiation of clinical studies we have developed a solution-phase synthesis using MPEG5000 as a support for implementation of liquid-phase oligonucleotide synthesis. This is the first solution phase synthesis of an oligodeoxynucleotide containing the modified nucleotides FdU and AraC. The process is amenable to producing multi-gram quantities of both CF10 and the MPEG5000 conjugate, a novel compound that may display improved pharmacokinetic properties.</w:t>
      </w:r>
    </w:p>
    <w:p w14:paraId="731E87AC" w14:textId="0CE5D4DA"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547BBCE"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P-34</w:t>
      </w:r>
      <w:r>
        <w:rPr>
          <w:b/>
          <w:bCs/>
          <w:sz w:val="26"/>
          <w:szCs w:val="26"/>
        </w:rPr>
        <w:t xml:space="preserve"> </w:t>
      </w:r>
    </w:p>
    <w:p w14:paraId="5BFCC472" w14:textId="77777777" w:rsidR="00D30923" w:rsidRPr="00971952" w:rsidRDefault="00D30923" w:rsidP="00D30923">
      <w:pPr>
        <w:spacing w:after="0"/>
        <w:jc w:val="center"/>
        <w:rPr>
          <w:b/>
          <w:bCs/>
          <w:sz w:val="26"/>
          <w:szCs w:val="26"/>
        </w:rPr>
      </w:pPr>
      <w:r w:rsidRPr="0092723F">
        <w:rPr>
          <w:b/>
          <w:bCs/>
          <w:noProof/>
          <w:sz w:val="26"/>
          <w:szCs w:val="26"/>
        </w:rPr>
        <w:t>Characterization of superconducting materials in cryogenic systems</w:t>
      </w:r>
    </w:p>
    <w:p w14:paraId="0B0937F0" w14:textId="77777777" w:rsidR="00D30923" w:rsidRDefault="00D30923" w:rsidP="00D30923">
      <w:pPr>
        <w:spacing w:after="0" w:line="240" w:lineRule="auto"/>
        <w:jc w:val="center"/>
      </w:pPr>
      <w:r>
        <w:rPr>
          <w:noProof/>
        </w:rPr>
        <w:t>Asher Brown*, KaMora Wilson, Bryce Williams, Ariell King, and John T. Yi</w:t>
      </w:r>
    </w:p>
    <w:p w14:paraId="7BB3A296" w14:textId="77777777" w:rsidR="00D30923" w:rsidRDefault="00D30923" w:rsidP="00D30923">
      <w:pPr>
        <w:spacing w:after="0" w:line="240" w:lineRule="auto"/>
        <w:jc w:val="center"/>
      </w:pPr>
      <w:r>
        <w:rPr>
          <w:noProof/>
        </w:rPr>
        <w:t>Winston-Salem State University</w:t>
      </w:r>
    </w:p>
    <w:p w14:paraId="357161BC" w14:textId="77777777" w:rsidR="00D30923" w:rsidRDefault="00D30923" w:rsidP="00D30923">
      <w:pPr>
        <w:spacing w:after="0" w:line="240" w:lineRule="auto"/>
        <w:jc w:val="center"/>
      </w:pPr>
    </w:p>
    <w:p w14:paraId="59BF2BE8" w14:textId="77777777" w:rsidR="00D30923" w:rsidRDefault="00D30923" w:rsidP="00D30923">
      <w:pPr>
        <w:spacing w:after="0" w:line="240" w:lineRule="auto"/>
        <w:rPr>
          <w:noProof/>
        </w:rPr>
      </w:pPr>
      <w:r>
        <w:rPr>
          <w:noProof/>
        </w:rPr>
        <w:t>This work presents an experimental investigation of high-temperature superconducting materials using a liquid nitrogen cryostat at the Winston-Salem Hybrid Quantum Laboratory (WHQL), Winston-Salem State University. The study focuses on the electrical characterization of yttrium barium copper oxide (YBCO) and bismuth strontium calcium copper oxide (BSCCO) under cryogenic conditions, with emphasis on accurately determining resistance vs temperature (R–T) behavior and critical temperature (Tc).</w:t>
      </w:r>
    </w:p>
    <w:p w14:paraId="16044F7B" w14:textId="77777777" w:rsidR="00D30923" w:rsidRDefault="00D30923" w:rsidP="00D30923">
      <w:pPr>
        <w:spacing w:after="0" w:line="240" w:lineRule="auto"/>
        <w:rPr>
          <w:noProof/>
        </w:rPr>
      </w:pPr>
      <w:r>
        <w:rPr>
          <w:noProof/>
        </w:rPr>
        <w:t>A four-point probe measurement technique was employed to minimize contact resistance and enable precise resistance measurements. Experiments were conducted under an applied current of ~1 A with a voltage bias of approximately 2 V, ensuring stable signal acquisition during controlled cooling to 77 K. The cryogenic setup integrated temperature sensing, electrical probing, and vacuum-assisted thermal isolation to maintain measurement fidelity and reduce thermal gradients. R–T measurements reveal clear distinctions between superconducting and normal conducting materials. A 330 Ω resistor exhibits a monotonic increase in resistance with decreasing temperature, consistent with non-superconducting behavior. In contrast, YBCO and BSCCO samples display sharp superconducting phase transitions to near-zero resistance. The critical temperatures were experimentally determined to be approximately 80 K for YBCO and 110 K for BSCCO, in agreement with established high-Tc superconducting properties.</w:t>
      </w:r>
    </w:p>
    <w:p w14:paraId="3E69E040" w14:textId="77777777" w:rsidR="00D30923" w:rsidRDefault="00D30923" w:rsidP="00D30923">
      <w:pPr>
        <w:spacing w:after="0" w:line="240" w:lineRule="auto"/>
      </w:pPr>
      <w:r>
        <w:rPr>
          <w:noProof/>
        </w:rPr>
        <w:t>Future work will extend this approach to thin-film superconducting systems, such as Nb, Nb3Ge and related materials using a 4 K cryostat system at WHQL, enabling studies of low-temperature transport, device-scale superconducting structures, and applications relevant to quantum information science and engineering (QISE).</w:t>
      </w:r>
    </w:p>
    <w:p w14:paraId="7ECCC46C" w14:textId="35FA586D"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09866E3"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P-35</w:t>
      </w:r>
      <w:r>
        <w:rPr>
          <w:b/>
          <w:bCs/>
          <w:sz w:val="26"/>
          <w:szCs w:val="26"/>
        </w:rPr>
        <w:t xml:space="preserve"> </w:t>
      </w:r>
    </w:p>
    <w:p w14:paraId="41AFCB7C" w14:textId="77777777" w:rsidR="00D30923" w:rsidRPr="00971952" w:rsidRDefault="00D30923" w:rsidP="00D30923">
      <w:pPr>
        <w:spacing w:after="0"/>
        <w:jc w:val="center"/>
        <w:rPr>
          <w:b/>
          <w:bCs/>
          <w:sz w:val="26"/>
          <w:szCs w:val="26"/>
        </w:rPr>
      </w:pPr>
      <w:r w:rsidRPr="00441629">
        <w:rPr>
          <w:b/>
          <w:bCs/>
          <w:i/>
          <w:iCs/>
          <w:noProof/>
          <w:sz w:val="26"/>
          <w:szCs w:val="26"/>
        </w:rPr>
        <w:t>In Silico</w:t>
      </w:r>
      <w:r w:rsidRPr="0092723F">
        <w:rPr>
          <w:b/>
          <w:bCs/>
          <w:noProof/>
          <w:sz w:val="26"/>
          <w:szCs w:val="26"/>
        </w:rPr>
        <w:t xml:space="preserve"> Comparison of Anaerobic Glucose–Xylose Consumption by Yeast and Bacteria in Single and Co-Culture Systems</w:t>
      </w:r>
    </w:p>
    <w:p w14:paraId="101E36A8" w14:textId="77777777" w:rsidR="00D30923" w:rsidRDefault="00D30923" w:rsidP="00D30923">
      <w:pPr>
        <w:spacing w:after="0" w:line="240" w:lineRule="auto"/>
        <w:jc w:val="center"/>
      </w:pPr>
      <w:r>
        <w:rPr>
          <w:noProof/>
        </w:rPr>
        <w:t>Rutuja S Bhamare, Samuel M.D. Oliveira</w:t>
      </w:r>
    </w:p>
    <w:p w14:paraId="72238001" w14:textId="77777777" w:rsidR="00D30923" w:rsidRDefault="00D30923" w:rsidP="00D30923">
      <w:pPr>
        <w:spacing w:after="0" w:line="240" w:lineRule="auto"/>
        <w:jc w:val="center"/>
      </w:pPr>
      <w:r>
        <w:rPr>
          <w:noProof/>
        </w:rPr>
        <w:t>Joint School of Nanoscience and Nanoengineering, North Carolina Agricultural and Technical State University</w:t>
      </w:r>
    </w:p>
    <w:p w14:paraId="56F29050" w14:textId="77777777" w:rsidR="00D30923" w:rsidRDefault="00D30923" w:rsidP="00D30923">
      <w:pPr>
        <w:spacing w:after="0" w:line="240" w:lineRule="auto"/>
        <w:jc w:val="center"/>
      </w:pPr>
    </w:p>
    <w:p w14:paraId="329720E9" w14:textId="77777777" w:rsidR="00D30923" w:rsidRDefault="00D30923" w:rsidP="00D30923">
      <w:pPr>
        <w:spacing w:after="0" w:line="240" w:lineRule="auto"/>
      </w:pPr>
      <w:r>
        <w:rPr>
          <w:noProof/>
        </w:rPr>
        <w:t>Efficient consumption of glucose and xylose remains a major challenge in ethanol-focused bioprocesses under anaerobic conditions. In these systems, Saccharomyces cerevisiae strongly favors glucose, and high glucose uptake can drive ethanol production via the Crabtree effect, limiting balanced utilization of mixed sugars. Understanding how this behavior differs between single-species cultures and co-cultures is important for improving substrate utilization. In this work, we developed a dynamic flux balance analysis (dFBA) model to study anaerobic glucose and xylose consumption by yeast and Escherichia coli in single and co-culture systems. The model simulates sugar consumption dynamics, growth, and ethanol production across varying glucose–xylose conditions. In addition to reproducing key substrate-switching behavior described in the original work, the new model includes cell death, providing a more realistic representation of culture decline during the process. We first evaluated single-species performance in mixed-sugar conditions and then compared these results with the co-culture system to examine differences in substrate preference, xylose utilization, and byproduct-related dynamics. To further investigate the system, we performed parameter sweeps across key variables, including sugar composition, uptake rates, and metabolic switching conditions, were used to identify factors influencing co-consumption. Overall, this study extends existing modeling frameworks by comparing yeast and E. coli in single and co-culture systems while incorporating cell death. Building on the original work, next step would be to explore these interactions in separate bioreactor configurations, where each organism could be maintained under more favorable conditions while still enabling coordinated processing of mixed substrates.</w:t>
      </w:r>
    </w:p>
    <w:p w14:paraId="6AD647EF" w14:textId="07939DFF"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9928BFE"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P-36</w:t>
      </w:r>
      <w:r>
        <w:rPr>
          <w:b/>
          <w:bCs/>
          <w:sz w:val="26"/>
          <w:szCs w:val="26"/>
        </w:rPr>
        <w:t xml:space="preserve"> </w:t>
      </w:r>
    </w:p>
    <w:p w14:paraId="461165F7" w14:textId="77777777" w:rsidR="00D30923" w:rsidRPr="00971952" w:rsidRDefault="00D30923" w:rsidP="00D30923">
      <w:pPr>
        <w:spacing w:after="0"/>
        <w:jc w:val="center"/>
        <w:rPr>
          <w:b/>
          <w:bCs/>
          <w:sz w:val="26"/>
          <w:szCs w:val="26"/>
        </w:rPr>
      </w:pPr>
      <w:r w:rsidRPr="0092723F">
        <w:rPr>
          <w:b/>
          <w:bCs/>
          <w:noProof/>
          <w:sz w:val="26"/>
          <w:szCs w:val="26"/>
        </w:rPr>
        <w:t xml:space="preserve">Antimicrobial Activity of Honey, Garlic, and Combined Honey–Garlic Treatments Against </w:t>
      </w:r>
      <w:r w:rsidRPr="00441629">
        <w:rPr>
          <w:b/>
          <w:bCs/>
          <w:i/>
          <w:iCs/>
          <w:noProof/>
          <w:sz w:val="26"/>
          <w:szCs w:val="26"/>
        </w:rPr>
        <w:t>Staphylococcus haemolyticus</w:t>
      </w:r>
    </w:p>
    <w:p w14:paraId="248194A4" w14:textId="77777777" w:rsidR="00D30923" w:rsidRDefault="00D30923" w:rsidP="00D30923">
      <w:pPr>
        <w:spacing w:after="0" w:line="240" w:lineRule="auto"/>
        <w:jc w:val="center"/>
      </w:pPr>
      <w:r>
        <w:rPr>
          <w:noProof/>
        </w:rPr>
        <w:t>Blackmoore Thaiesse*</w:t>
      </w:r>
    </w:p>
    <w:p w14:paraId="1A301E3D" w14:textId="77777777" w:rsidR="00D30923" w:rsidRDefault="00D30923" w:rsidP="00D30923">
      <w:pPr>
        <w:spacing w:after="0" w:line="240" w:lineRule="auto"/>
        <w:jc w:val="center"/>
      </w:pPr>
      <w:r>
        <w:rPr>
          <w:noProof/>
        </w:rPr>
        <w:t>Winston Salem State University</w:t>
      </w:r>
    </w:p>
    <w:p w14:paraId="4304C8A7" w14:textId="77777777" w:rsidR="00D30923" w:rsidRDefault="00D30923" w:rsidP="00D30923">
      <w:pPr>
        <w:spacing w:after="0" w:line="240" w:lineRule="auto"/>
        <w:jc w:val="center"/>
      </w:pPr>
    </w:p>
    <w:p w14:paraId="299274E1" w14:textId="77777777" w:rsidR="00D30923" w:rsidRDefault="00D30923" w:rsidP="00D30923">
      <w:pPr>
        <w:spacing w:after="0" w:line="240" w:lineRule="auto"/>
        <w:rPr>
          <w:noProof/>
        </w:rPr>
      </w:pPr>
      <w:r>
        <w:rPr>
          <w:noProof/>
        </w:rPr>
        <w:t xml:space="preserve">The increasing prevalence of antibiotic-resistant bacteria has created a need for alternative antimicrobial strategies derived from natural products. Honey and garlic have long been recognized for their antibacterial properties, and combining these substances may enhance their effectiveness. This study evaluated the antimicrobial activity of honey, garlic, </w:t>
      </w:r>
      <w:r>
        <w:rPr>
          <w:noProof/>
        </w:rPr>
        <w:lastRenderedPageBreak/>
        <w:t>and a combined honey and garlic treatment against Staphylococcus haemolyticus using a broth microdilution assay. Bacterial growth was measured using optical density (OD600) at 0 hours and after 24 hours across multiple concentrations.</w:t>
      </w:r>
    </w:p>
    <w:p w14:paraId="729A96C7" w14:textId="77777777" w:rsidR="00D30923" w:rsidRDefault="00D30923" w:rsidP="00D30923">
      <w:pPr>
        <w:spacing w:after="0" w:line="240" w:lineRule="auto"/>
      </w:pPr>
      <w:r>
        <w:rPr>
          <w:noProof/>
        </w:rPr>
        <w:t>Results showed a concentration-dependent reduction in bacterial growth for both honey and garlic individually. However, the combined honey and garlic treatment demonstrated significantly greater antimicrobial activity, achieving near complete inhibition at low concentrations where individual treatments remained less effective. These findings suggest a strong synergistic interaction between honey and garlic, likely due to their complementary mechanisms of action (Yadav et al., 2025). Overall, this study supports the potential use of natural antimicrobial combinations as alternative or complementary approaches in addressing antibiotic resistance.</w:t>
      </w:r>
    </w:p>
    <w:p w14:paraId="2F975597" w14:textId="46B01C0A"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5BBB6117"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P-37</w:t>
      </w:r>
      <w:r>
        <w:rPr>
          <w:b/>
          <w:bCs/>
          <w:sz w:val="26"/>
          <w:szCs w:val="26"/>
        </w:rPr>
        <w:t xml:space="preserve"> </w:t>
      </w:r>
    </w:p>
    <w:p w14:paraId="3E888406" w14:textId="77777777" w:rsidR="00D30923" w:rsidRPr="00971952" w:rsidRDefault="00D30923" w:rsidP="00D30923">
      <w:pPr>
        <w:spacing w:after="0"/>
        <w:jc w:val="center"/>
        <w:rPr>
          <w:b/>
          <w:bCs/>
          <w:sz w:val="26"/>
          <w:szCs w:val="26"/>
        </w:rPr>
      </w:pPr>
      <w:r w:rsidRPr="0092723F">
        <w:rPr>
          <w:b/>
          <w:bCs/>
          <w:noProof/>
          <w:sz w:val="26"/>
          <w:szCs w:val="26"/>
        </w:rPr>
        <w:t>Synergistic Anticancer Effects of Iberin and Sulforaphane in Triple-Negative Breast Cancer</w:t>
      </w:r>
    </w:p>
    <w:p w14:paraId="163DBDC3" w14:textId="77777777" w:rsidR="00D30923" w:rsidRDefault="00D30923" w:rsidP="00D30923">
      <w:pPr>
        <w:spacing w:after="0" w:line="240" w:lineRule="auto"/>
        <w:jc w:val="center"/>
      </w:pPr>
      <w:r>
        <w:rPr>
          <w:noProof/>
        </w:rPr>
        <w:t>Moore, Natalie*, Zandra Pinnix</w:t>
      </w:r>
    </w:p>
    <w:p w14:paraId="59A5A4AD" w14:textId="77777777" w:rsidR="00D30923" w:rsidRDefault="00D30923" w:rsidP="00D30923">
      <w:pPr>
        <w:spacing w:after="0" w:line="240" w:lineRule="auto"/>
        <w:jc w:val="center"/>
      </w:pPr>
      <w:r>
        <w:rPr>
          <w:noProof/>
        </w:rPr>
        <w:t>Guilford College</w:t>
      </w:r>
    </w:p>
    <w:p w14:paraId="42AB5B96" w14:textId="77777777" w:rsidR="00D30923" w:rsidRDefault="00D30923" w:rsidP="00D30923">
      <w:pPr>
        <w:spacing w:after="0" w:line="240" w:lineRule="auto"/>
        <w:jc w:val="center"/>
      </w:pPr>
    </w:p>
    <w:p w14:paraId="42E5620F" w14:textId="77777777" w:rsidR="00D30923" w:rsidRDefault="00D30923" w:rsidP="00D30923">
      <w:pPr>
        <w:spacing w:after="0" w:line="240" w:lineRule="auto"/>
      </w:pPr>
      <w:r>
        <w:rPr>
          <w:noProof/>
        </w:rPr>
        <w:t>Triple-negative breast cancer (TNBC) is an aggressive subtype defined by the absence of estrogen receptor, progesterone receptor, and HER2 expression, leaving patients without access to targeted hormonal or receptor-based therapies. This receptor-negative status contributes to poor prognosis and disproportionately burdens Black women, highlighting a need for less toxic, mechanism-driven treatment alternatives. This study investigates the anticancer and synergistic potential of Iberin and Sulforaphane, two naturally occurring isothiocyanates found in cruciferous vegetables. Cell viability was assessed in MDA-MB-231 TNBC cells using an MTS proliferation assay at concentrations of 0, 5, 10, or 20 μM of Sulforaphane, Iberin, and both agents in combination. At 24 hours, the 5 μM combination treatment was the most effective in reducing cell viability; however, after 48 hours, the 10 μM and 20 μM concentrations of the combination treatment demonstrated maximal efficacy. Notably, the combination treatment at 20 μM exhibited the highest HDAC percent inhibition after 24 hours. This indicates the ‘unlocking’ of tumor suppressor genes that likely drive the significant cytotoxic effects observed at the 48-hour mark. By identifying potent plant-derived therapeutic strategies, this research underscores the significance of dietary-based preventive action and seeks to address a health equity gap in oncological research by providing accessible interventions.</w:t>
      </w:r>
    </w:p>
    <w:p w14:paraId="74EFA7BF" w14:textId="41150550"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57ECF68E" w14:textId="77777777" w:rsidR="00561843" w:rsidRDefault="00561843" w:rsidP="00FF7C77">
      <w:pPr>
        <w:jc w:val="center"/>
      </w:pPr>
    </w:p>
    <w:p w14:paraId="0F028885" w14:textId="77777777" w:rsidR="00561843" w:rsidRDefault="00561843" w:rsidP="00FF7C77">
      <w:pPr>
        <w:jc w:val="center"/>
      </w:pPr>
    </w:p>
    <w:p w14:paraId="6D08A5A6" w14:textId="77777777" w:rsidR="00561843" w:rsidRDefault="00561843" w:rsidP="00FF7C77">
      <w:pPr>
        <w:jc w:val="center"/>
      </w:pPr>
    </w:p>
    <w:p w14:paraId="2DE00F71" w14:textId="77777777" w:rsidR="00561843" w:rsidRDefault="00561843" w:rsidP="00FF7C77">
      <w:pPr>
        <w:jc w:val="center"/>
      </w:pPr>
    </w:p>
    <w:p w14:paraId="29034379"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P-38</w:t>
      </w:r>
      <w:r>
        <w:rPr>
          <w:b/>
          <w:bCs/>
          <w:sz w:val="26"/>
          <w:szCs w:val="26"/>
        </w:rPr>
        <w:t xml:space="preserve"> </w:t>
      </w:r>
    </w:p>
    <w:p w14:paraId="7D4040CF" w14:textId="77777777" w:rsidR="00D30923" w:rsidRPr="00971952" w:rsidRDefault="00D30923" w:rsidP="00D30923">
      <w:pPr>
        <w:spacing w:after="0"/>
        <w:jc w:val="center"/>
        <w:rPr>
          <w:b/>
          <w:bCs/>
          <w:sz w:val="26"/>
          <w:szCs w:val="26"/>
        </w:rPr>
      </w:pPr>
      <w:r w:rsidRPr="0092723F">
        <w:rPr>
          <w:b/>
          <w:bCs/>
          <w:noProof/>
          <w:sz w:val="26"/>
          <w:szCs w:val="26"/>
        </w:rPr>
        <w:t>Hazards of artificial turf: from turf burn to Acinetobacter infection</w:t>
      </w:r>
    </w:p>
    <w:p w14:paraId="25034CD2" w14:textId="77777777" w:rsidR="00D30923" w:rsidRDefault="00D30923" w:rsidP="00D30923">
      <w:pPr>
        <w:spacing w:after="0" w:line="240" w:lineRule="auto"/>
        <w:jc w:val="center"/>
      </w:pPr>
      <w:r>
        <w:rPr>
          <w:noProof/>
        </w:rPr>
        <w:t>Muse, Kylie*, Zandra Pinnix</w:t>
      </w:r>
    </w:p>
    <w:p w14:paraId="0AA6E571" w14:textId="77777777" w:rsidR="00D30923" w:rsidRDefault="00D30923" w:rsidP="00D30923">
      <w:pPr>
        <w:spacing w:after="0" w:line="240" w:lineRule="auto"/>
        <w:jc w:val="center"/>
      </w:pPr>
      <w:r>
        <w:rPr>
          <w:noProof/>
        </w:rPr>
        <w:t>Guilford College</w:t>
      </w:r>
    </w:p>
    <w:p w14:paraId="3FBCC8AA" w14:textId="77777777" w:rsidR="00D30923" w:rsidRDefault="00D30923" w:rsidP="00D30923">
      <w:pPr>
        <w:spacing w:after="0" w:line="240" w:lineRule="auto"/>
        <w:jc w:val="center"/>
      </w:pPr>
    </w:p>
    <w:p w14:paraId="486AE678" w14:textId="77777777" w:rsidR="00D30923" w:rsidRDefault="00D30923" w:rsidP="00D30923">
      <w:pPr>
        <w:spacing w:after="0" w:line="240" w:lineRule="auto"/>
      </w:pPr>
      <w:r>
        <w:rPr>
          <w:noProof/>
        </w:rPr>
        <w:t>Artificial turf is a staple in modern athletics. Friction-induced turf burns can cause abrasions that are a gateway to microbial contamination. These abrasions bypass the skin's primary protective barrier, potentially introducing opportunistic pathogens into the soft tissue. This study focuses on bacteria that can be found in skin abrasions, specifically those caused by turf burn. Turf burn occurs when friction between the skin and artificial turf creates an open wound, increasing the risk of microbial contamination. The purpose of this study was to identify the types of bacteria present in turf-related abrasions and to examine the potential health risks associated with bacterial infiltration of the skin. Standard microbiological techniques, including Gram staining, catalase and oxidase testing, triple sugar iron (TSI) agar, phenol red broth, and indole testing, were used to identify bacteria collected from a personal turf burn sample. The results indicated the presence of Acinetobacter species. In severe cases, Acinetobacter can lead to soft tissue infections and other complications. These findings highlight the importance of proper wound care for athletes who experience turf burns. Additionally, this study emphasizes the need for improved sanitation and maintenance practices in artificial turf environments to reduce bacterial accumulation and transmission.</w:t>
      </w:r>
    </w:p>
    <w:p w14:paraId="481852B9" w14:textId="2A9F4C4C" w:rsidR="00D30923"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82A67D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P-39</w:t>
      </w:r>
      <w:r>
        <w:rPr>
          <w:b/>
          <w:bCs/>
          <w:sz w:val="26"/>
          <w:szCs w:val="26"/>
        </w:rPr>
        <w:t xml:space="preserve"> </w:t>
      </w:r>
    </w:p>
    <w:p w14:paraId="3DDE5469" w14:textId="77777777" w:rsidR="00D30923" w:rsidRPr="00971952" w:rsidRDefault="00D30923" w:rsidP="00D30923">
      <w:pPr>
        <w:spacing w:after="0"/>
        <w:jc w:val="center"/>
        <w:rPr>
          <w:b/>
          <w:bCs/>
          <w:sz w:val="26"/>
          <w:szCs w:val="26"/>
        </w:rPr>
      </w:pPr>
      <w:r w:rsidRPr="0092723F">
        <w:rPr>
          <w:b/>
          <w:bCs/>
          <w:noProof/>
          <w:sz w:val="26"/>
          <w:szCs w:val="26"/>
        </w:rPr>
        <w:t>TMEInsight: Elucidating patient-specific immune-pathway crosstalk via deep learning to foreshadow tumor progression</w:t>
      </w:r>
    </w:p>
    <w:p w14:paraId="1559078E" w14:textId="77777777" w:rsidR="00D30923" w:rsidRDefault="00D30923" w:rsidP="00D30923">
      <w:pPr>
        <w:spacing w:after="0" w:line="240" w:lineRule="auto"/>
        <w:jc w:val="center"/>
      </w:pPr>
      <w:r>
        <w:rPr>
          <w:noProof/>
        </w:rPr>
        <w:t>Sreeja Appala</w:t>
      </w:r>
    </w:p>
    <w:p w14:paraId="13838A09" w14:textId="77777777" w:rsidR="00D30923" w:rsidRDefault="00D30923" w:rsidP="00D30923">
      <w:pPr>
        <w:spacing w:after="0" w:line="240" w:lineRule="auto"/>
        <w:jc w:val="center"/>
      </w:pPr>
      <w:r>
        <w:rPr>
          <w:noProof/>
        </w:rPr>
        <w:t>North Carolina School of Science and Mathematics</w:t>
      </w:r>
    </w:p>
    <w:p w14:paraId="38533EA2" w14:textId="77777777" w:rsidR="00D30923" w:rsidRDefault="00D30923" w:rsidP="00D30923">
      <w:pPr>
        <w:spacing w:after="0" w:line="240" w:lineRule="auto"/>
        <w:jc w:val="center"/>
      </w:pPr>
    </w:p>
    <w:p w14:paraId="6C968BA4" w14:textId="77777777" w:rsidR="00D30923" w:rsidRDefault="00D30923" w:rsidP="00D30923">
      <w:pPr>
        <w:spacing w:after="0" w:line="240" w:lineRule="auto"/>
      </w:pPr>
      <w:r>
        <w:rPr>
          <w:noProof/>
        </w:rPr>
        <w:t xml:space="preserve">In the US, 1 in 3 individuals develop cancer in their lifetime. Yet, drug failure rates remain near 90%. Deciphering immune-cancer interactions within the tumor microenvironment (TME) is imperative for developing effective cancer treatments. Current research like transcriptomic signatures and linear modeling cannot fully manage tumor heterogeneity or TME crosstalk, leaving these interactions unelucidated. TMEInsight implements a novel artificial neural network (ANN) framework for patient-specific modeling of tumor-immune interactions across six cancer types. The multilayer architecture allows the model to consider non-linear TME crosstalk, foreshadowing tumor progression for early personalized intervention. Utilizing 3,500+ pan-cancer samples from the TCGA database, the ANN was trained on 73,710 immune predictors and 105,300 cancer pathway responses. The ANN was optimized via hyperparameter tuning and 5-fold cross-validation. For ANN interpretability, SHAP was utilized to elucidate heterogeneous relationships between 21 immune cell types and 30 signaling pathways. The ANN and SHAP were integrated into a web application, allowing for real-time prediction of Reactome signaling pathway </w:t>
      </w:r>
      <w:r>
        <w:rPr>
          <w:noProof/>
        </w:rPr>
        <w:lastRenderedPageBreak/>
        <w:t>enrichment based on patient-specific immune infiltration. TMEInsight achieved a mean squared error of 0.11 and an R-squared of 0.92, explaining 92% of variation in cancer signaling activity. Unlike fixed gene signature approaches, TMEInsight predicts pathway enrichment using immune activity for earlier prognosis. TMEInsight also outperformed linear regression (R-squared = 0.20) and Random Forest (R-squared = 0.52). Overall, TMEInsight provides a robust framework for tailoring therapies to the TME, enabling early intervention and revealing promising avenues for finding therapeutic targets.</w:t>
      </w:r>
    </w:p>
    <w:p w14:paraId="6677F4A8" w14:textId="5409D5B7"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22F1C86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P-40</w:t>
      </w:r>
      <w:r>
        <w:rPr>
          <w:b/>
          <w:bCs/>
          <w:sz w:val="26"/>
          <w:szCs w:val="26"/>
        </w:rPr>
        <w:t xml:space="preserve"> </w:t>
      </w:r>
    </w:p>
    <w:p w14:paraId="30A18BBB" w14:textId="77777777" w:rsidR="00D30923" w:rsidRPr="00971952" w:rsidRDefault="00D30923" w:rsidP="00D30923">
      <w:pPr>
        <w:spacing w:after="0"/>
        <w:jc w:val="center"/>
        <w:rPr>
          <w:b/>
          <w:bCs/>
          <w:sz w:val="26"/>
          <w:szCs w:val="26"/>
        </w:rPr>
      </w:pPr>
      <w:r w:rsidRPr="0092723F">
        <w:rPr>
          <w:b/>
          <w:bCs/>
          <w:noProof/>
          <w:sz w:val="26"/>
          <w:szCs w:val="26"/>
        </w:rPr>
        <w:t xml:space="preserve">Antimicrobial activity of honey, turmeric , and combined honey–turmeric treatments against Multi-drug-resistant </w:t>
      </w:r>
      <w:r w:rsidRPr="00441629">
        <w:rPr>
          <w:b/>
          <w:bCs/>
          <w:i/>
          <w:iCs/>
          <w:noProof/>
          <w:sz w:val="26"/>
          <w:szCs w:val="26"/>
        </w:rPr>
        <w:t>Staphylococcus haemolyticus</w:t>
      </w:r>
    </w:p>
    <w:p w14:paraId="407A51E3" w14:textId="77777777" w:rsidR="00D30923" w:rsidRDefault="00D30923" w:rsidP="00D30923">
      <w:pPr>
        <w:spacing w:after="0" w:line="240" w:lineRule="auto"/>
        <w:jc w:val="center"/>
      </w:pPr>
      <w:r>
        <w:rPr>
          <w:noProof/>
        </w:rPr>
        <w:t>Torain, Noah*, Akamu Ewunkem</w:t>
      </w:r>
    </w:p>
    <w:p w14:paraId="2FA439D9" w14:textId="77777777" w:rsidR="00D30923" w:rsidRDefault="00D30923" w:rsidP="00D30923">
      <w:pPr>
        <w:spacing w:after="0" w:line="240" w:lineRule="auto"/>
        <w:jc w:val="center"/>
      </w:pPr>
      <w:r>
        <w:rPr>
          <w:noProof/>
        </w:rPr>
        <w:t>Winston Salem State University</w:t>
      </w:r>
    </w:p>
    <w:p w14:paraId="4A4BFF24" w14:textId="77777777" w:rsidR="00D30923" w:rsidRDefault="00D30923" w:rsidP="00D30923">
      <w:pPr>
        <w:spacing w:after="0" w:line="240" w:lineRule="auto"/>
        <w:jc w:val="center"/>
      </w:pPr>
    </w:p>
    <w:p w14:paraId="6087E297" w14:textId="77777777" w:rsidR="00D30923" w:rsidRDefault="00D30923" w:rsidP="00D30923">
      <w:pPr>
        <w:spacing w:after="0" w:line="240" w:lineRule="auto"/>
      </w:pPr>
      <w:r>
        <w:rPr>
          <w:noProof/>
        </w:rPr>
        <w:t>Staphylococcus haemolyticus causes challenging skin infections due to its ability to form biofilms that resist immune defenses and conventional antibiotics. Investigating natural antimicrobial solutions, this study evaluated the effects of honey and turmeric on this pathogen. Results demonstrated that both substances, in varying concentrations, effectively inhibited bacterial growth after 24 hours of incubation. Furthermore, both honey and turmeric significantly reduced growth of S. haemolyticus compared to the control group. These results suggest that honey and turmeric are promising therapeutic alternatives for managing infections associated with S. haemolyticus</w:t>
      </w:r>
    </w:p>
    <w:p w14:paraId="580CA4E1" w14:textId="6AB61343"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81E2666"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P-41</w:t>
      </w:r>
      <w:r>
        <w:rPr>
          <w:b/>
          <w:bCs/>
          <w:sz w:val="26"/>
          <w:szCs w:val="26"/>
        </w:rPr>
        <w:t xml:space="preserve"> </w:t>
      </w:r>
    </w:p>
    <w:p w14:paraId="37B40F04" w14:textId="77777777" w:rsidR="00D30923" w:rsidRPr="00971952" w:rsidRDefault="00D30923" w:rsidP="00D30923">
      <w:pPr>
        <w:spacing w:after="0"/>
        <w:jc w:val="center"/>
        <w:rPr>
          <w:b/>
          <w:bCs/>
          <w:sz w:val="26"/>
          <w:szCs w:val="26"/>
        </w:rPr>
      </w:pPr>
      <w:r w:rsidRPr="0092723F">
        <w:rPr>
          <w:b/>
          <w:bCs/>
          <w:noProof/>
          <w:sz w:val="26"/>
          <w:szCs w:val="26"/>
        </w:rPr>
        <w:t xml:space="preserve">Study of Zanthoxylum armatum extract on the inhibition </w:t>
      </w:r>
      <w:r w:rsidRPr="00441629">
        <w:rPr>
          <w:b/>
          <w:bCs/>
          <w:i/>
          <w:iCs/>
          <w:noProof/>
          <w:sz w:val="26"/>
          <w:szCs w:val="26"/>
        </w:rPr>
        <w:t>of Staphylococcus aureus</w:t>
      </w:r>
      <w:r w:rsidRPr="0092723F">
        <w:rPr>
          <w:b/>
          <w:bCs/>
          <w:noProof/>
          <w:sz w:val="26"/>
          <w:szCs w:val="26"/>
        </w:rPr>
        <w:t xml:space="preserve"> growth and impact on biofilms</w:t>
      </w:r>
    </w:p>
    <w:p w14:paraId="11B0DEF4" w14:textId="77777777" w:rsidR="00D30923" w:rsidRDefault="00D30923" w:rsidP="00D30923">
      <w:pPr>
        <w:spacing w:after="0" w:line="240" w:lineRule="auto"/>
        <w:jc w:val="center"/>
      </w:pPr>
      <w:r>
        <w:rPr>
          <w:noProof/>
        </w:rPr>
        <w:t>Abernathy  Lauren*,  Uchenna  Iloghalu, Akamu Ewunkem</w:t>
      </w:r>
    </w:p>
    <w:p w14:paraId="4965E997" w14:textId="77777777" w:rsidR="00D30923" w:rsidRDefault="00D30923" w:rsidP="00D30923">
      <w:pPr>
        <w:spacing w:after="0" w:line="240" w:lineRule="auto"/>
        <w:jc w:val="center"/>
      </w:pPr>
      <w:r>
        <w:rPr>
          <w:noProof/>
        </w:rPr>
        <w:t>Winston Salem State University</w:t>
      </w:r>
    </w:p>
    <w:p w14:paraId="65BF3379" w14:textId="77777777" w:rsidR="00D30923" w:rsidRDefault="00D30923" w:rsidP="00D30923">
      <w:pPr>
        <w:spacing w:after="0" w:line="240" w:lineRule="auto"/>
        <w:jc w:val="center"/>
      </w:pPr>
    </w:p>
    <w:p w14:paraId="73269F31" w14:textId="77777777" w:rsidR="00D30923" w:rsidRDefault="00D30923" w:rsidP="00D30923">
      <w:pPr>
        <w:spacing w:after="0" w:line="240" w:lineRule="auto"/>
      </w:pPr>
      <w:r>
        <w:rPr>
          <w:noProof/>
        </w:rPr>
        <w:t xml:space="preserve">Staphylococcus aureus, particularly methicillin-resistant strains (MRSA), poses a significant challenge to modern medicine due to its high adaptability and ability to form robust biofilms, which impede treatment. This study investigated the antibacterial and anti-biofilm potential of Zanthoxylum armatum (ZA)extracts (seeds) against S. aureus. Extract was prepared using Soxhlet methods and samples were concentrated using rotovap- a laboratory device that efficiently removes solvents from samples by evaporation under reduced pressure. High-Performance Liquid Chromatography (HPLC) confirmed the presence of key phytochemicals such as alkaloids, flavonoids, and essential oils, which likely contribute to the observed antibacterial properties. This study explores plant-based alternatives using extract from Zanthoxylum armatum seeds (ZA) against biofilm-forming pathogen- Staphylococcus aureus. The research investigates the extracts' antimicrobial efficacy and their effects on biofilm formation. Using methanol Soxhlet extraction, colony </w:t>
      </w:r>
      <w:r>
        <w:rPr>
          <w:noProof/>
        </w:rPr>
        <w:lastRenderedPageBreak/>
        <w:t>forming units, spectrophotometry and biofilm assay as our methods. Our preliminary results demonstrated a dose-dependent inhibition of S. aureus growth after 24 hours of incubation. Our results show that Z. armatum possesses high antimicrobial activities after 24 hrs. Biofilm assay was also conducted to assess the impacts of ZA. Our results indicate that as little as 15% of extract was able to destroy the biofilm. The study concludes that Zanthoxylum armatum extracts are potent natural inhibitors of S. aureus growth and biofilm development. These findings suggest that Z. armatum holds promise as a natural therapeutic agent, offering a novel approach for developing plant-based antimicrobials to combat drug-resistant S. aureus infections, including those related to skin infections and dental issues.</w:t>
      </w:r>
    </w:p>
    <w:p w14:paraId="2BB60CC5" w14:textId="579ABE35"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02149FB0"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P-42</w:t>
      </w:r>
      <w:r>
        <w:rPr>
          <w:b/>
          <w:bCs/>
          <w:sz w:val="26"/>
          <w:szCs w:val="26"/>
        </w:rPr>
        <w:t xml:space="preserve"> </w:t>
      </w:r>
    </w:p>
    <w:p w14:paraId="6C3EC64D" w14:textId="77777777" w:rsidR="00D30923" w:rsidRPr="00971952" w:rsidRDefault="00D30923" w:rsidP="00D30923">
      <w:pPr>
        <w:spacing w:after="0"/>
        <w:jc w:val="center"/>
        <w:rPr>
          <w:b/>
          <w:bCs/>
          <w:sz w:val="26"/>
          <w:szCs w:val="26"/>
        </w:rPr>
      </w:pPr>
      <w:r w:rsidRPr="0092723F">
        <w:rPr>
          <w:b/>
          <w:bCs/>
          <w:noProof/>
          <w:sz w:val="26"/>
          <w:szCs w:val="26"/>
        </w:rPr>
        <w:t>Identification of unknown bacteria from throat swab</w:t>
      </w:r>
    </w:p>
    <w:p w14:paraId="3F4A6DFD" w14:textId="77777777" w:rsidR="00D30923" w:rsidRDefault="00D30923" w:rsidP="00D30923">
      <w:pPr>
        <w:spacing w:after="0" w:line="240" w:lineRule="auto"/>
        <w:jc w:val="center"/>
      </w:pPr>
      <w:r>
        <w:rPr>
          <w:noProof/>
        </w:rPr>
        <w:t>Aniya Hawkins*, Akamu Ewunkem, Uchenna  Iloghalu</w:t>
      </w:r>
    </w:p>
    <w:p w14:paraId="256A509D" w14:textId="77777777" w:rsidR="00D30923" w:rsidRDefault="00D30923" w:rsidP="00D30923">
      <w:pPr>
        <w:spacing w:after="0" w:line="240" w:lineRule="auto"/>
        <w:jc w:val="center"/>
      </w:pPr>
      <w:r>
        <w:rPr>
          <w:noProof/>
        </w:rPr>
        <w:t>Winston Salem State University</w:t>
      </w:r>
    </w:p>
    <w:p w14:paraId="7AA3585F" w14:textId="77777777" w:rsidR="00D30923" w:rsidRDefault="00D30923" w:rsidP="00D30923">
      <w:pPr>
        <w:spacing w:after="0" w:line="240" w:lineRule="auto"/>
        <w:jc w:val="center"/>
      </w:pPr>
    </w:p>
    <w:p w14:paraId="67821D56" w14:textId="77777777" w:rsidR="00D30923" w:rsidRDefault="00D30923" w:rsidP="00D30923">
      <w:pPr>
        <w:spacing w:after="0" w:line="240" w:lineRule="auto"/>
      </w:pPr>
      <w:r>
        <w:rPr>
          <w:noProof/>
        </w:rPr>
        <w:t>The identification of unknown bacteria from a throat swab is a critical procedure in clinical microbiology, primarily aimed at distinguishing between normal commensal flora and pathogenic bacteria, such as Group A Streptococcus (Streptococcus pyogenes). A throat swab from a patient was analyzed for bacterial infection. This was prompted after the patient tested negative to Streptococcus infection from the clinic. The objective of this study was to isolate and identify any bacterial pathogen/s that may have contributed to the patient’s cold condition. Following collection from the posterior pharynx, the specimen was inoculated onto nutrient agar – a general-purpose medium. Initial observations included colony morphology (size, color, form) and both differential and selective media were employed. Other biochemical tests including catalase test were used. The test showed two different colonies labelled big (B) and Small (S) to denote their sizes. Gram staining revealed the cell wall structure and cellular morphology showing both as Gram negative rods. A catalase test was performed to confirm the absence of Streptococcus sp. Other biochemical tests that were used include growth on Eosin Methylene blue (EMB), Mannitol Salt Agar (MSA), MacConkey agar and phenylethyl alcohol (PEA) agar. There was significant growth in all the media except Mannitol and PEA agar. This confirms that both organisms were Gram negative. EMB was not turned to metallic sheen ruling out the possibility of Escherichia coli. The samples were also studied using Scan Electron Microscopy (SEM) to confirm the morphology of the two isolates. The micrograph confirms the shape of the organisms. Our results show that the two organisms belong to Enterobacteriaceae. Genomic information is underway to confirm them.</w:t>
      </w:r>
    </w:p>
    <w:p w14:paraId="05AC4A95" w14:textId="140CA2A1"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30861870" w14:textId="77777777" w:rsidR="00561843" w:rsidRDefault="00561843" w:rsidP="00FF7C77">
      <w:pPr>
        <w:jc w:val="center"/>
      </w:pPr>
    </w:p>
    <w:p w14:paraId="57FDEC3D" w14:textId="77777777" w:rsidR="00561843" w:rsidRDefault="00561843" w:rsidP="00FF7C77">
      <w:pPr>
        <w:jc w:val="center"/>
      </w:pPr>
    </w:p>
    <w:p w14:paraId="563330DD" w14:textId="77777777" w:rsidR="00561843" w:rsidRDefault="00561843" w:rsidP="00FF7C77">
      <w:pPr>
        <w:jc w:val="center"/>
      </w:pPr>
    </w:p>
    <w:p w14:paraId="3DB5DD8B"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P-43</w:t>
      </w:r>
      <w:r>
        <w:rPr>
          <w:b/>
          <w:bCs/>
          <w:sz w:val="26"/>
          <w:szCs w:val="26"/>
        </w:rPr>
        <w:t xml:space="preserve"> </w:t>
      </w:r>
    </w:p>
    <w:p w14:paraId="0500E5CE" w14:textId="77777777" w:rsidR="00D30923" w:rsidRPr="00971952" w:rsidRDefault="00D30923" w:rsidP="00D30923">
      <w:pPr>
        <w:spacing w:after="0"/>
        <w:jc w:val="center"/>
        <w:rPr>
          <w:b/>
          <w:bCs/>
          <w:sz w:val="26"/>
          <w:szCs w:val="26"/>
        </w:rPr>
      </w:pPr>
      <w:r w:rsidRPr="0092723F">
        <w:rPr>
          <w:b/>
          <w:bCs/>
          <w:noProof/>
          <w:sz w:val="26"/>
          <w:szCs w:val="26"/>
        </w:rPr>
        <w:t>Impact of Environmental Nutrient Changes on Bacterial Characteristics</w:t>
      </w:r>
    </w:p>
    <w:p w14:paraId="0E7CCE2E" w14:textId="77777777" w:rsidR="00D30923" w:rsidRDefault="00D30923" w:rsidP="00D30923">
      <w:pPr>
        <w:spacing w:after="0" w:line="240" w:lineRule="auto"/>
        <w:jc w:val="center"/>
      </w:pPr>
      <w:r>
        <w:rPr>
          <w:noProof/>
        </w:rPr>
        <w:t>Bennett, Nigeria*, Jordan Matthews, Ariane Peralta, Ph.D., and Danielle Graham, Ph.D.</w:t>
      </w:r>
    </w:p>
    <w:p w14:paraId="64FE72FB" w14:textId="77777777" w:rsidR="00D30923" w:rsidRDefault="00D30923" w:rsidP="00D30923">
      <w:pPr>
        <w:spacing w:after="0" w:line="240" w:lineRule="auto"/>
        <w:jc w:val="center"/>
      </w:pPr>
      <w:r>
        <w:rPr>
          <w:noProof/>
        </w:rPr>
        <w:t>East Carolina University, Fayetteville State University</w:t>
      </w:r>
    </w:p>
    <w:p w14:paraId="108DF0D6" w14:textId="77777777" w:rsidR="00D30923" w:rsidRDefault="00D30923" w:rsidP="00D30923">
      <w:pPr>
        <w:spacing w:after="0" w:line="240" w:lineRule="auto"/>
        <w:jc w:val="center"/>
      </w:pPr>
    </w:p>
    <w:p w14:paraId="305CF991" w14:textId="77777777" w:rsidR="00D30923" w:rsidRDefault="00D30923" w:rsidP="00D30923">
      <w:pPr>
        <w:spacing w:after="0" w:line="240" w:lineRule="auto"/>
      </w:pPr>
      <w:r>
        <w:rPr>
          <w:noProof/>
        </w:rPr>
        <w:t>To understand bacterial function and adaptation, it is important to examine microorganisms within their natural environments. Soil serves as an ideal system for this purpose due to its high microbial diversity and complexity. Soil bacteria are known to respond to environmental stressors such as deforestation, habitat destruction, and agricultural practices, which can alter microbial community structure and potentially promote physiological adaptation or antibiotic resistance. Investigating these microbial systems allows for a deeper understanding of how environmental conditions influence bacterial characteristics and ecological function. The purpose of this study was to characterize bacterial isolates using standard microbiological techniques. Soil-derived isolates (WRC 246, 288, and 481) were collected from distinct environments: isolate 246 from a mowed and fertilized area, isolate 288 from a mowed area without fertilization, and isolate 481 from an undisturbed area. Each isolate was analyzed using Gram staining, motility testing, starch hydrolysis assays, and antibiotic susceptibility testing. Experimental results were compared to known controls, Bacillus subtilis and Escherichia coli, to ensure methodological accuracy. All assays were performed in triplicate to confirm reproducibility. All three isolates were determined to be Gram negative, but they varied in shape. Motility assays indicated that all isolates had limited motility compared to Bacillus subtilis. In starch hydrolysis testing, only isolate 481 demonstrated a positive result, indicating the production of alpha amylase. Antibiotic susceptibility was assessed using the Kirby-Bauer disk diffusion method with penicillin, neomycin, novobiocin, erythromycin, chloramphenicol, kanamycin, and tetracycline. Isolate 481 exhibited resistance to all the antibiotics, but isolates 246 and 288 were susceptible to penicillin, novobiocin, and erythromycin. Overall, these findings suggest that environmental conditions may influence bacterial physiological traits and antibiotic resistance profiles. Future studies include expanding sampling to further determine the relationship between habitat conditions and microbial diversity and resistance patterns.</w:t>
      </w:r>
    </w:p>
    <w:p w14:paraId="79DEEF83" w14:textId="697B164E"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8976B7F"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P-44</w:t>
      </w:r>
      <w:r>
        <w:rPr>
          <w:b/>
          <w:bCs/>
          <w:sz w:val="26"/>
          <w:szCs w:val="26"/>
        </w:rPr>
        <w:t xml:space="preserve"> </w:t>
      </w:r>
    </w:p>
    <w:p w14:paraId="6403F187" w14:textId="77777777" w:rsidR="00D30923" w:rsidRPr="00971952" w:rsidRDefault="00D30923" w:rsidP="00D30923">
      <w:pPr>
        <w:spacing w:after="0"/>
        <w:jc w:val="center"/>
        <w:rPr>
          <w:b/>
          <w:bCs/>
          <w:sz w:val="26"/>
          <w:szCs w:val="26"/>
        </w:rPr>
      </w:pPr>
      <w:r w:rsidRPr="0092723F">
        <w:rPr>
          <w:b/>
          <w:bCs/>
          <w:noProof/>
          <w:sz w:val="26"/>
          <w:szCs w:val="26"/>
        </w:rPr>
        <w:t>Inhibitory Effects of Bitter melon (</w:t>
      </w:r>
      <w:r w:rsidRPr="00441629">
        <w:rPr>
          <w:b/>
          <w:bCs/>
          <w:i/>
          <w:iCs/>
          <w:noProof/>
          <w:sz w:val="26"/>
          <w:szCs w:val="26"/>
        </w:rPr>
        <w:t>Momordica charantia</w:t>
      </w:r>
      <w:r w:rsidRPr="0092723F">
        <w:rPr>
          <w:b/>
          <w:bCs/>
          <w:noProof/>
          <w:sz w:val="26"/>
          <w:szCs w:val="26"/>
        </w:rPr>
        <w:t>) leaf extracts on Streptococcus pneumoniae growth</w:t>
      </w:r>
    </w:p>
    <w:p w14:paraId="0655B4C5" w14:textId="77777777" w:rsidR="00D30923" w:rsidRDefault="00D30923" w:rsidP="00D30923">
      <w:pPr>
        <w:spacing w:after="0" w:line="240" w:lineRule="auto"/>
        <w:jc w:val="center"/>
      </w:pPr>
      <w:r>
        <w:rPr>
          <w:noProof/>
        </w:rPr>
        <w:t>Cius, Saraye*, +C17+B16:G20+B16+B16:H22</w:t>
      </w:r>
    </w:p>
    <w:p w14:paraId="21048C2F" w14:textId="77777777" w:rsidR="00D30923" w:rsidRDefault="00D30923" w:rsidP="00D30923">
      <w:pPr>
        <w:spacing w:after="0" w:line="240" w:lineRule="auto"/>
        <w:jc w:val="center"/>
      </w:pPr>
      <w:r>
        <w:rPr>
          <w:noProof/>
        </w:rPr>
        <w:t>Winston Salem State University</w:t>
      </w:r>
    </w:p>
    <w:p w14:paraId="4682BDC4" w14:textId="77777777" w:rsidR="00D30923" w:rsidRDefault="00D30923" w:rsidP="00D30923">
      <w:pPr>
        <w:spacing w:after="0" w:line="240" w:lineRule="auto"/>
        <w:jc w:val="center"/>
      </w:pPr>
    </w:p>
    <w:p w14:paraId="20B6E81D" w14:textId="77777777" w:rsidR="00D30923" w:rsidRDefault="00D30923" w:rsidP="00D30923">
      <w:pPr>
        <w:spacing w:after="0" w:line="240" w:lineRule="auto"/>
        <w:rPr>
          <w:noProof/>
        </w:rPr>
      </w:pPr>
      <w:r>
        <w:rPr>
          <w:noProof/>
        </w:rPr>
        <w:t xml:space="preserve">With antibiotic resistance causing millions of annual deaths, identifying alternative plant-based antimicrobials is crucial. This study evaluated the antibacterial efficacy of Momordica charantia (bitter melon) leaf extracts (1.0g) against Streptococcus pneumoniae. Both aqueous and ethanolic extracts demonstrated inhibitory effects within </w:t>
      </w:r>
      <w:r>
        <w:rPr>
          <w:noProof/>
        </w:rPr>
        <w:lastRenderedPageBreak/>
        <w:t>24 hours. The ethanol extract exhibited the most significant bacterial inhibition, indicating that M. charantia leaves are a promising alternative to conventional antibiotics for fighting bacterial infections.</w:t>
      </w:r>
    </w:p>
    <w:p w14:paraId="23F36732" w14:textId="5B1E3372" w:rsidR="00D30923" w:rsidRDefault="00FF7C77" w:rsidP="00FF7C77">
      <w:pPr>
        <w:jc w:val="center"/>
      </w:pPr>
      <w:hyperlink w:anchor="TableofContents" w:history="1">
        <w:r w:rsidRPr="45BF4E85">
          <w:rPr>
            <w:rStyle w:val="Hyperlink"/>
            <w:rFonts w:ascii="Calibri" w:hAnsi="Calibri" w:cs="Calibri"/>
            <w:b/>
            <w:bCs/>
            <w:kern w:val="0"/>
            <w:sz w:val="22"/>
            <w:szCs w:val="22"/>
          </w:rPr>
          <w:t>Return to Table of Contents</w:t>
        </w:r>
      </w:hyperlink>
    </w:p>
    <w:p w14:paraId="4BCAA7A7"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P-45</w:t>
      </w:r>
      <w:r>
        <w:rPr>
          <w:b/>
          <w:bCs/>
          <w:sz w:val="26"/>
          <w:szCs w:val="26"/>
        </w:rPr>
        <w:t xml:space="preserve"> </w:t>
      </w:r>
    </w:p>
    <w:p w14:paraId="388E9E3D" w14:textId="77777777" w:rsidR="00D30923" w:rsidRPr="00441629" w:rsidRDefault="00D30923" w:rsidP="00D30923">
      <w:pPr>
        <w:spacing w:after="0"/>
        <w:jc w:val="center"/>
        <w:rPr>
          <w:b/>
          <w:bCs/>
          <w:i/>
          <w:iCs/>
          <w:sz w:val="26"/>
          <w:szCs w:val="26"/>
        </w:rPr>
      </w:pPr>
      <w:r w:rsidRPr="0092723F">
        <w:rPr>
          <w:b/>
          <w:bCs/>
          <w:noProof/>
          <w:sz w:val="26"/>
          <w:szCs w:val="26"/>
        </w:rPr>
        <w:t xml:space="preserve">Evaluating the effects of honey and turmeric on biofilm formation of </w:t>
      </w:r>
      <w:r w:rsidRPr="00441629">
        <w:rPr>
          <w:b/>
          <w:bCs/>
          <w:i/>
          <w:iCs/>
          <w:noProof/>
          <w:sz w:val="26"/>
          <w:szCs w:val="26"/>
        </w:rPr>
        <w:t>Staphylococcus haemolyticus</w:t>
      </w:r>
    </w:p>
    <w:p w14:paraId="52596B91" w14:textId="77777777" w:rsidR="00D30923" w:rsidRDefault="00D30923" w:rsidP="00D30923">
      <w:pPr>
        <w:spacing w:after="0" w:line="240" w:lineRule="auto"/>
        <w:jc w:val="center"/>
      </w:pPr>
      <w:r>
        <w:rPr>
          <w:noProof/>
        </w:rPr>
        <w:t>Deal Ariel*, Akamu Ewunkem</w:t>
      </w:r>
    </w:p>
    <w:p w14:paraId="4B80789C" w14:textId="77777777" w:rsidR="00D30923" w:rsidRDefault="00D30923" w:rsidP="00D30923">
      <w:pPr>
        <w:spacing w:after="0" w:line="240" w:lineRule="auto"/>
        <w:jc w:val="center"/>
      </w:pPr>
      <w:r>
        <w:rPr>
          <w:noProof/>
        </w:rPr>
        <w:t>Winston Salem State University</w:t>
      </w:r>
    </w:p>
    <w:p w14:paraId="1A9FD7D5" w14:textId="77777777" w:rsidR="00D30923" w:rsidRDefault="00D30923" w:rsidP="00D30923">
      <w:pPr>
        <w:spacing w:after="0" w:line="240" w:lineRule="auto"/>
        <w:jc w:val="center"/>
      </w:pPr>
    </w:p>
    <w:p w14:paraId="0127D415" w14:textId="77777777" w:rsidR="00D30923" w:rsidRDefault="00D30923" w:rsidP="00D30923">
      <w:pPr>
        <w:spacing w:after="0" w:line="240" w:lineRule="auto"/>
      </w:pPr>
      <w:r>
        <w:rPr>
          <w:noProof/>
        </w:rPr>
        <w:t>Rising antibiotic resistance causes approximately one million annual deaths, necessitating natural alternatives to conventional treatments. While garlic and honey are known for their health benefits, research on their combined efficacy against multi-drug resistant (MDR) Staphylococcus haemolyticus is limited. This study evaluates the synergistic antibacterial potential of honey and turmeric against clinical isolates. Using Crystal Violet assays, we demonstrated that while both substances independently inhibit biofilm formation, the combination of honey and turmeric provides the most significant reduction, particularly at higher concentrations. These findings suggest that the combination of honey and turmeric is a promising, natural alternative to conventional antibiotics.</w:t>
      </w:r>
    </w:p>
    <w:p w14:paraId="6FFFEAF7" w14:textId="5A047D47" w:rsidR="00D30923" w:rsidRPr="00FF7C77" w:rsidRDefault="00FF7C77" w:rsidP="00FF7C77">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47E5EE8E"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P-46</w:t>
      </w:r>
      <w:r>
        <w:rPr>
          <w:b/>
          <w:bCs/>
          <w:sz w:val="26"/>
          <w:szCs w:val="26"/>
        </w:rPr>
        <w:t xml:space="preserve"> </w:t>
      </w:r>
    </w:p>
    <w:p w14:paraId="5AFDA775" w14:textId="77777777" w:rsidR="00D30923" w:rsidRPr="00971952" w:rsidRDefault="00D30923" w:rsidP="00D30923">
      <w:pPr>
        <w:spacing w:after="0"/>
        <w:jc w:val="center"/>
        <w:rPr>
          <w:b/>
          <w:bCs/>
          <w:sz w:val="26"/>
          <w:szCs w:val="26"/>
        </w:rPr>
      </w:pPr>
      <w:r w:rsidRPr="0092723F">
        <w:rPr>
          <w:b/>
          <w:bCs/>
          <w:noProof/>
          <w:sz w:val="26"/>
          <w:szCs w:val="26"/>
        </w:rPr>
        <w:t xml:space="preserve">Comparative efficacy of green and chemically synthesized silver nanoparticles against </w:t>
      </w:r>
      <w:r w:rsidRPr="00441629">
        <w:rPr>
          <w:b/>
          <w:bCs/>
          <w:i/>
          <w:iCs/>
          <w:noProof/>
          <w:sz w:val="26"/>
          <w:szCs w:val="26"/>
        </w:rPr>
        <w:t>E. coli</w:t>
      </w:r>
      <w:r w:rsidRPr="0092723F">
        <w:rPr>
          <w:b/>
          <w:bCs/>
          <w:noProof/>
          <w:sz w:val="26"/>
          <w:szCs w:val="26"/>
        </w:rPr>
        <w:t xml:space="preserve">  and the synergistic potential of their combination</w:t>
      </w:r>
    </w:p>
    <w:p w14:paraId="500E2698" w14:textId="77777777" w:rsidR="00D30923" w:rsidRDefault="00D30923" w:rsidP="00D30923">
      <w:pPr>
        <w:spacing w:after="0" w:line="240" w:lineRule="auto"/>
        <w:jc w:val="center"/>
      </w:pPr>
      <w:r>
        <w:rPr>
          <w:noProof/>
        </w:rPr>
        <w:t>Dixon Josiah*, Akamu Ewunkem</w:t>
      </w:r>
    </w:p>
    <w:p w14:paraId="49EB6F0F" w14:textId="77777777" w:rsidR="00D30923" w:rsidRDefault="00D30923" w:rsidP="00D30923">
      <w:pPr>
        <w:spacing w:after="0" w:line="240" w:lineRule="auto"/>
        <w:jc w:val="center"/>
      </w:pPr>
      <w:r>
        <w:rPr>
          <w:noProof/>
        </w:rPr>
        <w:t>Winston Salem State University</w:t>
      </w:r>
    </w:p>
    <w:p w14:paraId="6810641E" w14:textId="77777777" w:rsidR="00D30923" w:rsidRDefault="00D30923" w:rsidP="00D30923">
      <w:pPr>
        <w:spacing w:after="0" w:line="240" w:lineRule="auto"/>
        <w:jc w:val="center"/>
      </w:pPr>
    </w:p>
    <w:p w14:paraId="57DDD2A6" w14:textId="77777777" w:rsidR="00D30923" w:rsidRDefault="00D30923" w:rsidP="00D30923">
      <w:pPr>
        <w:spacing w:after="0" w:line="240" w:lineRule="auto"/>
      </w:pPr>
      <w:r>
        <w:rPr>
          <w:noProof/>
        </w:rPr>
        <w:t>Rising antibiotic resistance, driven by extensive usage, necessitates alternative antimicrobial agents. While silver nanoparticles (AgNPs, 1–100 nm) offer high efficacy due to their superior surface area-to-volume ratio facilitating rapid ion release and enhanced interaction with bacterial cell walls, chemically synthesized AgNPs are often limited by toxicity and cost. This study evaluates the synergistic antimicrobial potential of combining green and chemically synthesized AgNPs. Furthermore, it examines genomic modifications in E. coli resulting from long-term exposure to these particles to identify potential resistance mechanisms. Our data demonstrate that combining green and chemical AgNPs creates a more potent effect than either method alone, resulting in a synergistic enhancement. This hybrid approach offers superior antimicrobial efficiency and efficacy, providing a robust solution to the current resistance crisis.</w:t>
      </w:r>
    </w:p>
    <w:p w14:paraId="73E71EE4" w14:textId="16D31AD9"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15E4E8EC" w14:textId="77777777" w:rsidR="00561843" w:rsidRDefault="00561843" w:rsidP="00607B8B">
      <w:pPr>
        <w:jc w:val="center"/>
      </w:pPr>
    </w:p>
    <w:p w14:paraId="660D7E8C" w14:textId="77777777" w:rsidR="00561843" w:rsidRDefault="00561843" w:rsidP="00607B8B">
      <w:pPr>
        <w:jc w:val="center"/>
      </w:pPr>
    </w:p>
    <w:p w14:paraId="049902F3"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P-47</w:t>
      </w:r>
      <w:r>
        <w:rPr>
          <w:b/>
          <w:bCs/>
          <w:sz w:val="26"/>
          <w:szCs w:val="26"/>
        </w:rPr>
        <w:t xml:space="preserve"> </w:t>
      </w:r>
    </w:p>
    <w:p w14:paraId="7D12C9F6" w14:textId="77777777" w:rsidR="00D30923" w:rsidRPr="00971952" w:rsidRDefault="00D30923" w:rsidP="00D30923">
      <w:pPr>
        <w:spacing w:after="0"/>
        <w:jc w:val="center"/>
        <w:rPr>
          <w:b/>
          <w:bCs/>
          <w:sz w:val="26"/>
          <w:szCs w:val="26"/>
        </w:rPr>
      </w:pPr>
      <w:r w:rsidRPr="0092723F">
        <w:rPr>
          <w:b/>
          <w:bCs/>
          <w:noProof/>
          <w:sz w:val="26"/>
          <w:szCs w:val="26"/>
        </w:rPr>
        <w:t>Assessing the antimicrobial potential of soil-derived isolates against safe ESKAPE pathogens</w:t>
      </w:r>
    </w:p>
    <w:p w14:paraId="54DAF095" w14:textId="77777777" w:rsidR="00D30923" w:rsidRDefault="00D30923" w:rsidP="00D30923">
      <w:pPr>
        <w:spacing w:after="0" w:line="240" w:lineRule="auto"/>
        <w:jc w:val="center"/>
      </w:pPr>
      <w:r>
        <w:rPr>
          <w:noProof/>
        </w:rPr>
        <w:t>Guiang, Adriel*, Stephanie Mathews</w:t>
      </w:r>
    </w:p>
    <w:p w14:paraId="6E4C54AD" w14:textId="77777777" w:rsidR="00D30923" w:rsidRDefault="00D30923" w:rsidP="00D30923">
      <w:pPr>
        <w:spacing w:after="0" w:line="240" w:lineRule="auto"/>
        <w:jc w:val="center"/>
      </w:pPr>
      <w:r>
        <w:rPr>
          <w:noProof/>
        </w:rPr>
        <w:t>North Carolina State University</w:t>
      </w:r>
    </w:p>
    <w:p w14:paraId="015954CE" w14:textId="77777777" w:rsidR="00D30923" w:rsidRDefault="00D30923" w:rsidP="00D30923">
      <w:pPr>
        <w:spacing w:after="0" w:line="240" w:lineRule="auto"/>
        <w:jc w:val="center"/>
      </w:pPr>
    </w:p>
    <w:p w14:paraId="5B17224D" w14:textId="77777777" w:rsidR="00D30923" w:rsidRDefault="00D30923" w:rsidP="00D30923">
      <w:pPr>
        <w:spacing w:after="0" w:line="240" w:lineRule="auto"/>
      </w:pPr>
      <w:r>
        <w:rPr>
          <w:noProof/>
        </w:rPr>
        <w:t>Antimicrobial resistance (AMR) is a global crisis, currently linked to about 5 million deaths annually. It is a silent pandemic that renders routine surgeries and infections more dangerous, as existing drugs become ineffective. Students in a microbiology lab course at NC State, MB360,  isolated and identified antibiotic-producing bacteria from soil. These isolates and the antimicrobial compounds they produce need further investigation. The goal of this research is to optimize antibiotic compound extraction methods and further separate the components of this extract. Ten confirmed antibiotic-producing isolates were cultivated, and a crude chemical organic extraction was performed. Additional separation of the crude extract was performed using thin-layer chromatography. Antimicrobial properties were then evaluated using antibiotic spread plate bioassays. Extracts from two isolates, MER05 and MM09, demonstrated the highest level of antimicrobial activity against Staphylococcus epidermidis and Erwinia carotovora, respectively, with zones of inhibition measuring 12–14 mm in diameter compared with negative controls. A minimal inhibitory concentration (MIC) 96-well plate assay is being developed to evaluate components of the extracts and to quantitatively compare the two extracts. These findings demonstrate the potential of student discovery in addressing the challenges of AMR.</w:t>
      </w:r>
    </w:p>
    <w:p w14:paraId="218BB80C" w14:textId="19C7276B"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8205BA9"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P-48</w:t>
      </w:r>
      <w:r>
        <w:rPr>
          <w:b/>
          <w:bCs/>
          <w:sz w:val="26"/>
          <w:szCs w:val="26"/>
        </w:rPr>
        <w:t xml:space="preserve"> </w:t>
      </w:r>
    </w:p>
    <w:p w14:paraId="5C6917D1" w14:textId="77777777" w:rsidR="00D30923" w:rsidRPr="00971952" w:rsidRDefault="00D30923" w:rsidP="00D30923">
      <w:pPr>
        <w:spacing w:after="0"/>
        <w:jc w:val="center"/>
        <w:rPr>
          <w:b/>
          <w:bCs/>
          <w:sz w:val="26"/>
          <w:szCs w:val="26"/>
        </w:rPr>
      </w:pPr>
      <w:r w:rsidRPr="0092723F">
        <w:rPr>
          <w:b/>
          <w:bCs/>
          <w:noProof/>
          <w:sz w:val="26"/>
          <w:szCs w:val="26"/>
        </w:rPr>
        <w:t>Comparative analysis of Staphylococcus aureus susceptibility to green and chemically synthesized silver nanoparticles and combined antibacterial efficacy</w:t>
      </w:r>
    </w:p>
    <w:p w14:paraId="46C39A52" w14:textId="77777777" w:rsidR="00D30923" w:rsidRDefault="00D30923" w:rsidP="00D30923">
      <w:pPr>
        <w:spacing w:after="0" w:line="240" w:lineRule="auto"/>
        <w:jc w:val="center"/>
      </w:pPr>
      <w:r>
        <w:rPr>
          <w:noProof/>
        </w:rPr>
        <w:t>Jordan, Queenie* Akamu Ewunkem</w:t>
      </w:r>
    </w:p>
    <w:p w14:paraId="59041D1F" w14:textId="77777777" w:rsidR="00D30923" w:rsidRDefault="00D30923" w:rsidP="00D30923">
      <w:pPr>
        <w:spacing w:after="0" w:line="240" w:lineRule="auto"/>
        <w:jc w:val="center"/>
      </w:pPr>
      <w:r>
        <w:rPr>
          <w:noProof/>
        </w:rPr>
        <w:t>Winston Salem State University</w:t>
      </w:r>
    </w:p>
    <w:p w14:paraId="0DDE063B" w14:textId="77777777" w:rsidR="00D30923" w:rsidRDefault="00D30923" w:rsidP="00D30923">
      <w:pPr>
        <w:spacing w:after="0" w:line="240" w:lineRule="auto"/>
        <w:jc w:val="center"/>
      </w:pPr>
    </w:p>
    <w:p w14:paraId="19A1C25A" w14:textId="77777777" w:rsidR="00D30923" w:rsidRDefault="00D30923" w:rsidP="00D30923">
      <w:pPr>
        <w:spacing w:after="0" w:line="240" w:lineRule="auto"/>
      </w:pPr>
      <w:r>
        <w:rPr>
          <w:noProof/>
        </w:rPr>
        <w:t>The global crisis of antibiotic resistance demands urgent alternative antimicrobials, placing silver nanoparticles (AgNPs, 1-100nm) in the spotlight due to their superior surface-area-to-volume ratio and rapid ion release. Addressing the high cost and toxicity risks associated with chemical synthesis, this study evaluates the synergistic antimicrobial effects of combining green-synthesized and chemically synthesized AgNPs. Morphological characterization was performed using Scanning Electron Microscopy (SEM) and Transmission Electron Microscopy (TEM). Results demonstrate that hybridizing these two types of nanoparticles enhances antimicrobial potency while improving stability and biocompatibility, offering a reduced-toxicity alternative to traditional synthesis methods.</w:t>
      </w:r>
    </w:p>
    <w:p w14:paraId="6DA9C405" w14:textId="384CF778"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15B28941" w14:textId="77777777" w:rsidR="00561843" w:rsidRDefault="00561843" w:rsidP="00607B8B">
      <w:pPr>
        <w:jc w:val="center"/>
      </w:pPr>
    </w:p>
    <w:p w14:paraId="24D1DF0A"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P-49</w:t>
      </w:r>
      <w:r>
        <w:rPr>
          <w:b/>
          <w:bCs/>
          <w:sz w:val="26"/>
          <w:szCs w:val="26"/>
        </w:rPr>
        <w:t xml:space="preserve"> </w:t>
      </w:r>
    </w:p>
    <w:p w14:paraId="226659C7" w14:textId="77777777" w:rsidR="00D30923" w:rsidRPr="00971952" w:rsidRDefault="00D30923" w:rsidP="00D30923">
      <w:pPr>
        <w:spacing w:after="0"/>
        <w:jc w:val="center"/>
        <w:rPr>
          <w:b/>
          <w:bCs/>
          <w:sz w:val="26"/>
          <w:szCs w:val="26"/>
        </w:rPr>
      </w:pPr>
      <w:r w:rsidRPr="0092723F">
        <w:rPr>
          <w:b/>
          <w:bCs/>
          <w:noProof/>
          <w:sz w:val="26"/>
          <w:szCs w:val="26"/>
        </w:rPr>
        <w:t xml:space="preserve">In vitro antibacterial efficacy of </w:t>
      </w:r>
      <w:r w:rsidRPr="00441629">
        <w:rPr>
          <w:b/>
          <w:bCs/>
          <w:i/>
          <w:iCs/>
          <w:noProof/>
          <w:sz w:val="26"/>
          <w:szCs w:val="26"/>
        </w:rPr>
        <w:t>Calendula officinalis</w:t>
      </w:r>
      <w:r w:rsidRPr="0092723F">
        <w:rPr>
          <w:b/>
          <w:bCs/>
          <w:noProof/>
          <w:sz w:val="26"/>
          <w:szCs w:val="26"/>
        </w:rPr>
        <w:t xml:space="preserve"> against resistant clinical isolates</w:t>
      </w:r>
    </w:p>
    <w:p w14:paraId="4B8EE449" w14:textId="77777777" w:rsidR="00D30923" w:rsidRDefault="00D30923" w:rsidP="00D30923">
      <w:pPr>
        <w:spacing w:after="0" w:line="240" w:lineRule="auto"/>
        <w:jc w:val="center"/>
      </w:pPr>
      <w:r>
        <w:rPr>
          <w:noProof/>
        </w:rPr>
        <w:t>Parrott Carlin*  Akamu Ewunkem</w:t>
      </w:r>
    </w:p>
    <w:p w14:paraId="43D898D0" w14:textId="77777777" w:rsidR="00D30923" w:rsidRDefault="00D30923" w:rsidP="00D30923">
      <w:pPr>
        <w:spacing w:after="0" w:line="240" w:lineRule="auto"/>
        <w:jc w:val="center"/>
      </w:pPr>
      <w:r>
        <w:rPr>
          <w:noProof/>
        </w:rPr>
        <w:t>Winston Salem State University</w:t>
      </w:r>
    </w:p>
    <w:p w14:paraId="676B4AA9" w14:textId="77777777" w:rsidR="00D30923" w:rsidRDefault="00D30923" w:rsidP="00D30923">
      <w:pPr>
        <w:spacing w:after="0" w:line="240" w:lineRule="auto"/>
        <w:jc w:val="center"/>
      </w:pPr>
    </w:p>
    <w:p w14:paraId="1A1C3334" w14:textId="77777777" w:rsidR="00D30923" w:rsidRDefault="00D30923" w:rsidP="00D30923">
      <w:pPr>
        <w:spacing w:after="0" w:line="240" w:lineRule="auto"/>
      </w:pPr>
      <w:r>
        <w:rPr>
          <w:noProof/>
        </w:rPr>
        <w:t>With pediatric skin infections rising to 3 million annual visits and making up 25% of clinical encounters, rapid pathogen identification is crucial to avoid unnecessary antibiotic use and combat resistance. This study analyzed a pediatric case found a multi-drug resistant strain of Staphylococcus haemolyticus to be the cause of an infant's skin infection. Furthermore, Calendula officinalis as a promising natural treatment, with extracts demonstrating potent antimicrobial activity against this specific multi-drug resistant bacterium. This supports the use of natural alternatives in addressing skin infection cases, particularly when bacterial resistance is a factor.</w:t>
      </w:r>
    </w:p>
    <w:p w14:paraId="46E50464" w14:textId="3EF3066C"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5AE65A80"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P-50</w:t>
      </w:r>
      <w:r>
        <w:rPr>
          <w:b/>
          <w:bCs/>
          <w:sz w:val="26"/>
          <w:szCs w:val="26"/>
        </w:rPr>
        <w:t xml:space="preserve"> </w:t>
      </w:r>
    </w:p>
    <w:p w14:paraId="522AC919" w14:textId="77777777" w:rsidR="00D30923" w:rsidRPr="00971952" w:rsidRDefault="00D30923" w:rsidP="00D30923">
      <w:pPr>
        <w:spacing w:after="0"/>
        <w:jc w:val="center"/>
        <w:rPr>
          <w:b/>
          <w:bCs/>
          <w:sz w:val="26"/>
          <w:szCs w:val="26"/>
        </w:rPr>
      </w:pPr>
      <w:r w:rsidRPr="0092723F">
        <w:rPr>
          <w:b/>
          <w:bCs/>
          <w:noProof/>
          <w:sz w:val="26"/>
          <w:szCs w:val="26"/>
        </w:rPr>
        <w:t>Evaluating Bacterial Characteristics in Response to Environmental Nutrient Changes</w:t>
      </w:r>
    </w:p>
    <w:p w14:paraId="4E71B3CD" w14:textId="77777777" w:rsidR="00D30923" w:rsidRDefault="00D30923" w:rsidP="00D30923">
      <w:pPr>
        <w:spacing w:after="0" w:line="240" w:lineRule="auto"/>
        <w:jc w:val="center"/>
      </w:pPr>
      <w:r>
        <w:rPr>
          <w:noProof/>
        </w:rPr>
        <w:t>Robinson, Miah*, Jordan Matthews, Ariane Peralta, Ph.D., and Danielle Graham, Ph.D.</w:t>
      </w:r>
    </w:p>
    <w:p w14:paraId="7B0B92A4" w14:textId="77777777" w:rsidR="00D30923" w:rsidRDefault="00D30923" w:rsidP="00D30923">
      <w:pPr>
        <w:spacing w:after="0" w:line="240" w:lineRule="auto"/>
        <w:jc w:val="center"/>
      </w:pPr>
      <w:r>
        <w:rPr>
          <w:noProof/>
        </w:rPr>
        <w:t>East Carolina University, Fayetteville State University</w:t>
      </w:r>
    </w:p>
    <w:p w14:paraId="06058F40" w14:textId="77777777" w:rsidR="00D30923" w:rsidRDefault="00D30923" w:rsidP="00D30923">
      <w:pPr>
        <w:spacing w:after="0" w:line="240" w:lineRule="auto"/>
        <w:jc w:val="center"/>
      </w:pPr>
    </w:p>
    <w:p w14:paraId="4498B7FD" w14:textId="78DBA6FE" w:rsidR="00D30923" w:rsidRDefault="00D30923" w:rsidP="00D30923">
      <w:pPr>
        <w:spacing w:after="0" w:line="240" w:lineRule="auto"/>
      </w:pPr>
      <w:r>
        <w:rPr>
          <w:noProof/>
        </w:rPr>
        <w:t xml:space="preserve">Human-driven nutrient enrichment alters microbial communities in wetland soils, with potential consequences for ecosystems, especially wetlands. Within these systems, soil bacteria play a crucial role in cycling nutrients, facilitating plant growth, and maintaining ecosystem balance. However, long-term environmental disturbances, caused by agriculture and industrialization, have increased nutrients, such as nitrogen and phosphorus, in natural ecosystems. These surpluses can alter competitive dynamics in microbial communities, favoring traits that promote rapid growth and resource acquisition, at the expense of microbial diversity and stability. This study examines the impact of sustained nutrient enrichment on the phenotypic traits of Bacillus species. We collected Bacillus isolates from an ecological research site in eastern North Carolina that received regular fertilization treatments for over 20 years and the control plots that were not fertilized. To examine how nutrient availability influences microbial competitive strategies, we measured key phenotypic traits associated with environmental fitness: growth rate, antibiotic resistance, biofilm formation, capsule production, and sporulation. Each trait was quantified using standardized microbiological assays, including spectrophotometric growth curves, disc diffusion for antibiotic sensitivity, crystal violet staining for biofilms, and differential staining for capsules and endospores. Our results demonstrate that all three Bacillus isolates were Gram-positive, motile, and resistant to penicillin, with WRC 289 showing the highest antibiotic resistance and confirmed biofilm formation. Starch hydrolysis assays revealed that WRC 289 and WRC 294 exhibited clear zones of hydrolysis, indicating amylase activity, whereas WRC 474 showed little to no starch degradation. A </w:t>
      </w:r>
      <w:r>
        <w:rPr>
          <w:noProof/>
        </w:rPr>
        <w:lastRenderedPageBreak/>
        <w:t>possible trend suggests that isolates from more fertilized environments exhibited fewer antibiotic resistances. Further studies are needed to determine how these environments affect sporulation and capsule production. This research highlights the potential for long-term nutrient inputs to alter microbial community structure and function, ultimately influencing broader ecological processes, including soil health, plant-microbe interactions, and ecosystem resilience in the face of ongoing environmental change.</w:t>
      </w:r>
    </w:p>
    <w:p w14:paraId="3204D6A5" w14:textId="6F99DDBF" w:rsidR="00441629"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1D73310"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P-51</w:t>
      </w:r>
      <w:r>
        <w:rPr>
          <w:b/>
          <w:bCs/>
          <w:sz w:val="26"/>
          <w:szCs w:val="26"/>
        </w:rPr>
        <w:t xml:space="preserve"> </w:t>
      </w:r>
    </w:p>
    <w:p w14:paraId="27CEB199" w14:textId="77777777" w:rsidR="00D30923" w:rsidRPr="00971952" w:rsidRDefault="00D30923" w:rsidP="00D30923">
      <w:pPr>
        <w:spacing w:after="0"/>
        <w:jc w:val="center"/>
        <w:rPr>
          <w:b/>
          <w:bCs/>
          <w:sz w:val="26"/>
          <w:szCs w:val="26"/>
        </w:rPr>
      </w:pPr>
      <w:r w:rsidRPr="0092723F">
        <w:rPr>
          <w:b/>
          <w:bCs/>
          <w:noProof/>
          <w:sz w:val="26"/>
          <w:szCs w:val="26"/>
        </w:rPr>
        <w:t>A microfluidic biofilm-on-a-chip platform for evaluating antibiotic efficacy against bacterial biofilms</w:t>
      </w:r>
    </w:p>
    <w:p w14:paraId="3F800AAE" w14:textId="77777777" w:rsidR="00D30923" w:rsidRDefault="00D30923" w:rsidP="00D30923">
      <w:pPr>
        <w:spacing w:after="0" w:line="240" w:lineRule="auto"/>
        <w:jc w:val="center"/>
      </w:pPr>
      <w:r>
        <w:rPr>
          <w:noProof/>
        </w:rPr>
        <w:t>Shah,Harnish1*, Thuanny B. Rios1, Nona Hashemi1, Tolulope Oyeniran1, Samuel M.D. Oliveira1,</w:t>
      </w:r>
    </w:p>
    <w:p w14:paraId="2E2695B8" w14:textId="77777777" w:rsidR="00D30923" w:rsidRDefault="00D30923" w:rsidP="00D30923">
      <w:pPr>
        <w:spacing w:after="0" w:line="240" w:lineRule="auto"/>
        <w:jc w:val="center"/>
      </w:pPr>
      <w:r>
        <w:rPr>
          <w:noProof/>
        </w:rPr>
        <w:t>¹Joint School of Nanoscience and Nanoengineering (JSNN),North Carolina Agricultural and Technical State University (NCAT),</w:t>
      </w:r>
    </w:p>
    <w:p w14:paraId="194A8BE3" w14:textId="77777777" w:rsidR="00D30923" w:rsidRDefault="00D30923" w:rsidP="00D30923">
      <w:pPr>
        <w:spacing w:after="0" w:line="240" w:lineRule="auto"/>
        <w:jc w:val="center"/>
      </w:pPr>
    </w:p>
    <w:p w14:paraId="5BE54759" w14:textId="77777777" w:rsidR="00D30923" w:rsidRDefault="00D30923" w:rsidP="00D30923">
      <w:pPr>
        <w:spacing w:after="0" w:line="240" w:lineRule="auto"/>
      </w:pPr>
      <w:r>
        <w:rPr>
          <w:noProof/>
        </w:rPr>
        <w:t>Microbial biofilms pose significant clinical challenges due to their inherent resistance to antimicrobial treatments and their role in persistent infections. Antibiotics (and their combinations) are traditional means to disrupt biofilms or kill bacteria, offering conventional treatments with broad-spectrum activity and distinct mechanisms. However, most antimicrobial evaluations are conducted under static conditions that do not reflect physiological environments, limiting accurate assessment of therapeutic efficacy. To address this limitation, a microfluidic biofilm-on-a-chip platform fabricated from polydimethylsiloxane (PDMS) was used to investigate antimicrobial activity under controlled flow conditions. Staphylococcus aureus and Escherichia coli were used as models of strong and weak biofilm-forming species, respectively. Biofilms were established over 4 days under continuous flow of nutrient media, enabling controlled maturation under physiologically relevant conditions. Biofilm development was monitored using microscopy to evaluate structural organization and growth dynamics. Following maturation, biofilms were treated under flow with antimicrobial peptides and conventional antibiotics, with phosphate-buffered saline (PBS) serving as a control. Treatment responses were assessed through image-based analysis to quantify biofilm disruption and temporal dynamics. Preliminary findings indicate that the antibiotic effectively disrupts mature biofilms under flow, exhibiting distinct time-dependent responses compared to static experiments. This work establishes a physiologically relevant platform for evaluating antimicrobial efficacy under dynamic conditions and supports the development of next-generation therapeutic strategies against biofilm-associated infections.</w:t>
      </w:r>
    </w:p>
    <w:p w14:paraId="05EF10E7" w14:textId="41D35CFB"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291459EA" w14:textId="77777777" w:rsidR="00561843" w:rsidRDefault="00561843" w:rsidP="00607B8B">
      <w:pPr>
        <w:jc w:val="center"/>
      </w:pPr>
    </w:p>
    <w:p w14:paraId="458D3EAD" w14:textId="77777777" w:rsidR="00561843" w:rsidRDefault="00561843" w:rsidP="00607B8B">
      <w:pPr>
        <w:jc w:val="center"/>
      </w:pPr>
    </w:p>
    <w:p w14:paraId="5FF07ABA" w14:textId="77777777" w:rsidR="00561843" w:rsidRDefault="00561843" w:rsidP="00607B8B">
      <w:pPr>
        <w:jc w:val="center"/>
      </w:pPr>
    </w:p>
    <w:p w14:paraId="3F683327"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P-52</w:t>
      </w:r>
      <w:r>
        <w:rPr>
          <w:b/>
          <w:bCs/>
          <w:sz w:val="26"/>
          <w:szCs w:val="26"/>
        </w:rPr>
        <w:t xml:space="preserve"> </w:t>
      </w:r>
    </w:p>
    <w:p w14:paraId="1B7F32B7" w14:textId="77777777" w:rsidR="00D30923" w:rsidRPr="00971952" w:rsidRDefault="00D30923" w:rsidP="00D30923">
      <w:pPr>
        <w:spacing w:after="0"/>
        <w:jc w:val="center"/>
        <w:rPr>
          <w:b/>
          <w:bCs/>
          <w:sz w:val="26"/>
          <w:szCs w:val="26"/>
        </w:rPr>
      </w:pPr>
      <w:r w:rsidRPr="0092723F">
        <w:rPr>
          <w:b/>
          <w:bCs/>
          <w:noProof/>
          <w:sz w:val="26"/>
          <w:szCs w:val="26"/>
        </w:rPr>
        <w:t>The effects of L-nicotine on cricket (</w:t>
      </w:r>
      <w:r w:rsidRPr="00441629">
        <w:rPr>
          <w:b/>
          <w:bCs/>
          <w:i/>
          <w:iCs/>
          <w:noProof/>
          <w:sz w:val="26"/>
          <w:szCs w:val="26"/>
        </w:rPr>
        <w:t>Acheta domesticus</w:t>
      </w:r>
      <w:r w:rsidRPr="0092723F">
        <w:rPr>
          <w:b/>
          <w:bCs/>
          <w:noProof/>
          <w:sz w:val="26"/>
          <w:szCs w:val="26"/>
        </w:rPr>
        <w:t>) behavior and fitness</w:t>
      </w:r>
    </w:p>
    <w:p w14:paraId="79C95E42" w14:textId="77777777" w:rsidR="00D30923" w:rsidRDefault="00D30923" w:rsidP="00D30923">
      <w:pPr>
        <w:spacing w:after="0" w:line="240" w:lineRule="auto"/>
        <w:jc w:val="center"/>
      </w:pPr>
      <w:r>
        <w:rPr>
          <w:noProof/>
        </w:rPr>
        <w:t>Luduvico, Nordan*, Xiaoping Pan</w:t>
      </w:r>
    </w:p>
    <w:p w14:paraId="3D320AA1" w14:textId="77777777" w:rsidR="00D30923" w:rsidRDefault="00D30923" w:rsidP="00D30923">
      <w:pPr>
        <w:spacing w:after="0" w:line="240" w:lineRule="auto"/>
        <w:jc w:val="center"/>
      </w:pPr>
      <w:r>
        <w:rPr>
          <w:noProof/>
        </w:rPr>
        <w:t>East Carolina University</w:t>
      </w:r>
    </w:p>
    <w:p w14:paraId="43CE97AF" w14:textId="77777777" w:rsidR="00D30923" w:rsidRDefault="00D30923" w:rsidP="00D30923">
      <w:pPr>
        <w:spacing w:after="0" w:line="240" w:lineRule="auto"/>
        <w:jc w:val="center"/>
      </w:pPr>
    </w:p>
    <w:p w14:paraId="679DDC34" w14:textId="77777777" w:rsidR="00D30923" w:rsidRDefault="00D30923" w:rsidP="00D30923">
      <w:pPr>
        <w:spacing w:after="0" w:line="240" w:lineRule="auto"/>
        <w:rPr>
          <w:noProof/>
        </w:rPr>
      </w:pPr>
      <w:r>
        <w:rPr>
          <w:noProof/>
        </w:rPr>
        <w:t>Nicotine is a plant-derived alkaloid produced by tobacco plants and introduced into terrestrial ecosystems through cigarette waste. As a neuroactive compound that binds nicotinic acetylcholine receptors, nicotine may alter invertebrate behavior and reproductive success. This study investigates the effects of L-nicotine exposure on locomotor activity, reproductive output, and offspring survival in Acheta domesticus. We hypothesize that nicotine exposure will increase locomotor activity via cholinergic receptor stimulation while reducing overall fitness due to physiological stress.</w:t>
      </w:r>
    </w:p>
    <w:p w14:paraId="2E15A99B" w14:textId="77777777" w:rsidR="00D30923" w:rsidRDefault="00D30923" w:rsidP="00D30923">
      <w:pPr>
        <w:spacing w:after="0" w:line="240" w:lineRule="auto"/>
        <w:rPr>
          <w:noProof/>
        </w:rPr>
      </w:pPr>
      <w:r>
        <w:rPr>
          <w:noProof/>
        </w:rPr>
        <w:t xml:space="preserve"> </w:t>
      </w:r>
    </w:p>
    <w:p w14:paraId="10187CAC" w14:textId="77777777" w:rsidR="00D30923" w:rsidRDefault="00D30923" w:rsidP="00D30923">
      <w:pPr>
        <w:spacing w:after="0" w:line="240" w:lineRule="auto"/>
        <w:rPr>
          <w:noProof/>
        </w:rPr>
      </w:pPr>
      <w:r>
        <w:rPr>
          <w:noProof/>
        </w:rPr>
        <w:t>Adult crickets will be exposed to controlled concentrations of L-nicotine, and behavioral responses will be quantified using a standardized arena assay measuring jump frequency and barrier-crossing behavior. Reproductive fitness will be assessed by quantifying egg production and hatch success in nicotine-exposed and control groups.</w:t>
      </w:r>
    </w:p>
    <w:p w14:paraId="16739267" w14:textId="77777777" w:rsidR="00D30923" w:rsidRDefault="00D30923" w:rsidP="00D30923">
      <w:pPr>
        <w:spacing w:after="0" w:line="240" w:lineRule="auto"/>
        <w:rPr>
          <w:noProof/>
        </w:rPr>
      </w:pPr>
      <w:r>
        <w:rPr>
          <w:noProof/>
        </w:rPr>
        <w:t xml:space="preserve"> </w:t>
      </w:r>
    </w:p>
    <w:p w14:paraId="6AC42A92" w14:textId="77777777" w:rsidR="00D30923" w:rsidRDefault="00D30923" w:rsidP="00D30923">
      <w:pPr>
        <w:spacing w:after="0" w:line="240" w:lineRule="auto"/>
      </w:pPr>
      <w:r>
        <w:rPr>
          <w:noProof/>
        </w:rPr>
        <w:t>Although data collection is ongoing, this study aims to determine whether environmentally relevant nicotine exposure alters both behavior and reproductive success in a common terrestrial insect. Given the prevalence of cigarette litter and the ecological importance of crickets in terrestrial food webs, these findings may contribute to understanding how anthropogenic alkaloids influence invertebrate population dynamics and ecosystem stability.</w:t>
      </w:r>
    </w:p>
    <w:p w14:paraId="02A202E0" w14:textId="72076E38"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C550B24"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P-53</w:t>
      </w:r>
      <w:r>
        <w:rPr>
          <w:b/>
          <w:bCs/>
          <w:sz w:val="26"/>
          <w:szCs w:val="26"/>
        </w:rPr>
        <w:t xml:space="preserve"> </w:t>
      </w:r>
    </w:p>
    <w:p w14:paraId="05992DAA" w14:textId="77777777" w:rsidR="00D30923" w:rsidRPr="00971952" w:rsidRDefault="00D30923" w:rsidP="00D30923">
      <w:pPr>
        <w:spacing w:after="0"/>
        <w:jc w:val="center"/>
        <w:rPr>
          <w:b/>
          <w:bCs/>
          <w:sz w:val="26"/>
          <w:szCs w:val="26"/>
        </w:rPr>
      </w:pPr>
      <w:r w:rsidRPr="0092723F">
        <w:rPr>
          <w:b/>
          <w:bCs/>
          <w:noProof/>
          <w:sz w:val="26"/>
          <w:szCs w:val="26"/>
        </w:rPr>
        <w:t>Global Transcriptomic Profiling of Mouse Liver in Response to TNF-α Treatment</w:t>
      </w:r>
    </w:p>
    <w:p w14:paraId="6079851C" w14:textId="77777777" w:rsidR="00D30923" w:rsidRDefault="00D30923" w:rsidP="00D30923">
      <w:pPr>
        <w:spacing w:after="0" w:line="240" w:lineRule="auto"/>
        <w:jc w:val="center"/>
      </w:pPr>
      <w:r>
        <w:rPr>
          <w:noProof/>
        </w:rPr>
        <w:t>Abouzeid Nour*, Jia Zhenquan</w:t>
      </w:r>
    </w:p>
    <w:p w14:paraId="30F45F69" w14:textId="77777777" w:rsidR="00D30923" w:rsidRDefault="00D30923" w:rsidP="00D30923">
      <w:pPr>
        <w:spacing w:after="0" w:line="240" w:lineRule="auto"/>
        <w:jc w:val="center"/>
      </w:pPr>
      <w:r>
        <w:rPr>
          <w:noProof/>
        </w:rPr>
        <w:t>Department of Biology, University of North Carolina at Greensboro</w:t>
      </w:r>
    </w:p>
    <w:p w14:paraId="29FD09A0" w14:textId="77777777" w:rsidR="00D30923" w:rsidRDefault="00D30923" w:rsidP="00D30923">
      <w:pPr>
        <w:spacing w:after="0" w:line="240" w:lineRule="auto"/>
        <w:jc w:val="center"/>
      </w:pPr>
    </w:p>
    <w:p w14:paraId="6B6707BA" w14:textId="77777777" w:rsidR="00D30923" w:rsidRDefault="00D30923" w:rsidP="00D30923">
      <w:pPr>
        <w:spacing w:after="0" w:line="240" w:lineRule="auto"/>
      </w:pPr>
      <w:r>
        <w:rPr>
          <w:noProof/>
        </w:rPr>
        <w:t xml:space="preserve">TNF-α is a central mediator of inflammation and a key regulator of immune-metabolic interactions. Although its role in activating inflammatory pathways has been extensively characterized in vitro, the in vivo transcriptomic changes induced by TNF-α in liver tissue remain poorly defined. To address this, C57BL/6 mice were administered TNF-α or left untreated, after which liver tissues were collected, and RNA was isolated for RNA sequencing (RNA-seq)-based transcriptomic profiling. Differential gene expression analysis was performed, and pathway enrichment was assessed using Gene Set Enrichment Analysis (GSEA) and iDEP 2.0. TNF-α exposure resulted in significant enrichment of inflammatory and immune-related pathways. Notably, the NF-κB signaling pathway, as well as lipid and atherosclerosis-related pathways, were upregulated, alongside chemokine signaling and cytokine-cytokine receptor interaction pathways. In contrast, several metabolic pathways were downregulated, particularly those associated </w:t>
      </w:r>
      <w:r>
        <w:rPr>
          <w:noProof/>
        </w:rPr>
        <w:lastRenderedPageBreak/>
        <w:t>with chemical carcinogenesis and reactive oxygen species (ROS) metabolism. Additional enrichment patterns included alterations in oxidative phosphorylation and neurodegeneration-associated pathways, indicating broad transcriptional reprogramming. Collectively, these findings demonstrate that TNF-α induces a coordinated shift toward pro-inflammatory signaling while suppressing oxidative stress-related metabolic processes in hepatocytes. This integrated in vivo transcriptomic analysis provides novel insight into TNF-α-driven hepatic inflammation and its potential contribution to systemic inflammatory diseases, including atherosclerosis.</w:t>
      </w:r>
    </w:p>
    <w:p w14:paraId="0ACC4717" w14:textId="77777777" w:rsidR="00607B8B"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273B5EF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P-54</w:t>
      </w:r>
      <w:r>
        <w:rPr>
          <w:b/>
          <w:bCs/>
          <w:sz w:val="26"/>
          <w:szCs w:val="26"/>
        </w:rPr>
        <w:t xml:space="preserve"> </w:t>
      </w:r>
    </w:p>
    <w:p w14:paraId="2BB6A1CA" w14:textId="77777777" w:rsidR="00D30923" w:rsidRPr="00971952" w:rsidRDefault="00D30923" w:rsidP="00D30923">
      <w:pPr>
        <w:spacing w:after="0"/>
        <w:jc w:val="center"/>
        <w:rPr>
          <w:b/>
          <w:bCs/>
          <w:sz w:val="26"/>
          <w:szCs w:val="26"/>
        </w:rPr>
      </w:pPr>
      <w:r w:rsidRPr="0092723F">
        <w:rPr>
          <w:b/>
          <w:bCs/>
          <w:noProof/>
          <w:sz w:val="26"/>
          <w:szCs w:val="26"/>
        </w:rPr>
        <w:t>Isolation of intervertebral disc from human donors for the analysis of collagen fibers in annulus fibrosis connective tissue</w:t>
      </w:r>
    </w:p>
    <w:p w14:paraId="1869927C" w14:textId="77777777" w:rsidR="00D30923" w:rsidRDefault="00D30923" w:rsidP="00D30923">
      <w:pPr>
        <w:spacing w:after="0" w:line="240" w:lineRule="auto"/>
        <w:jc w:val="center"/>
      </w:pPr>
      <w:r>
        <w:rPr>
          <w:noProof/>
        </w:rPr>
        <w:t>Clark, Matthew, Meetra Qaderi*</w:t>
      </w:r>
    </w:p>
    <w:p w14:paraId="25255931" w14:textId="77777777" w:rsidR="00D30923" w:rsidRDefault="00D30923" w:rsidP="00D30923">
      <w:pPr>
        <w:spacing w:after="0" w:line="240" w:lineRule="auto"/>
        <w:jc w:val="center"/>
      </w:pPr>
      <w:r>
        <w:rPr>
          <w:noProof/>
        </w:rPr>
        <w:t>Elon University</w:t>
      </w:r>
    </w:p>
    <w:p w14:paraId="24DB84D8" w14:textId="77777777" w:rsidR="00D30923" w:rsidRDefault="00D30923" w:rsidP="00D30923">
      <w:pPr>
        <w:spacing w:after="0" w:line="240" w:lineRule="auto"/>
        <w:jc w:val="center"/>
      </w:pPr>
    </w:p>
    <w:p w14:paraId="1484165B" w14:textId="77777777" w:rsidR="00D30923" w:rsidRDefault="00D30923" w:rsidP="00D30923">
      <w:pPr>
        <w:spacing w:after="0" w:line="240" w:lineRule="auto"/>
        <w:rPr>
          <w:noProof/>
        </w:rPr>
      </w:pPr>
      <w:r>
        <w:rPr>
          <w:noProof/>
        </w:rPr>
        <w:t xml:space="preserve">This study explores regional variations in collagen content within the annulus fibrosus of human intervertebral discs to better understand structural factors that influence spinal integrity and injury likelihood. Intervertebral disc degeneration and injury are major contributors to chronic back pain and disability, with prior research indicating that the cervical and lumbar regions are more prone to injury than the thoracic region, and that the thoracic region has more spinal integrity. One proposed explanation for this disparity is variation in the amount of collagen, which plays a critical role in disc strength and mechanical stability due to its importance in the annulus fibrosis of the discs.  </w:t>
      </w:r>
    </w:p>
    <w:p w14:paraId="2A5A6A44" w14:textId="77777777" w:rsidR="00D30923" w:rsidRDefault="00D30923" w:rsidP="00D30923">
      <w:pPr>
        <w:spacing w:after="0" w:line="240" w:lineRule="auto"/>
        <w:rPr>
          <w:noProof/>
        </w:rPr>
      </w:pPr>
      <w:r>
        <w:rPr>
          <w:noProof/>
        </w:rPr>
        <w:t xml:space="preserve">In these studies, human donor intervertebral disc samples will be collected from the cervical, thoracic, and lumbar regions under appropriate ethical protocols. The annulus fibrosus will be isolated and analyzed using biochemical techniques to quantify collagen amounts. Specifically, a molecular and cellular biological assay of the intervertebral disc will be employed to determine the high abundance of collagen molecules. Tissue samples will undergo acid hydrolysis, followed by chemical reactions to produce measurable absorbance amounts of collagen, using spectrophotometry to calculate concentrations and estimated total collagen amounts. </w:t>
      </w:r>
    </w:p>
    <w:p w14:paraId="69AB77EF" w14:textId="77777777" w:rsidR="00D30923" w:rsidRDefault="00D30923" w:rsidP="00D30923">
      <w:pPr>
        <w:spacing w:after="0" w:line="240" w:lineRule="auto"/>
        <w:rPr>
          <w:noProof/>
        </w:rPr>
      </w:pPr>
      <w:r>
        <w:rPr>
          <w:noProof/>
        </w:rPr>
        <w:t xml:space="preserve">The primary objective is to compare collagen levels across the three spinal regions and determine which region exhibits the highest collagen amounts associated with enhanced disc strength and integrity.  </w:t>
      </w:r>
    </w:p>
    <w:p w14:paraId="722505BB" w14:textId="77777777" w:rsidR="00D30923" w:rsidRDefault="00D30923" w:rsidP="00D30923">
      <w:pPr>
        <w:spacing w:after="0" w:line="240" w:lineRule="auto"/>
      </w:pPr>
      <w:r>
        <w:rPr>
          <w:noProof/>
        </w:rPr>
        <w:t>By establishing quantitative differences in collagen composition, these studies aim to provide insight into the structural basis of regional vulnerability to disc injury and degeneration. The results intend to contribute to a better understanding of spinal biomechanics and support future strategies for understanding better disc integrity, injury prevention, and therapeutic intervention.</w:t>
      </w:r>
    </w:p>
    <w:p w14:paraId="1159C515" w14:textId="42B5B281"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5A83669D" w14:textId="77777777" w:rsidR="00561843" w:rsidRDefault="00561843" w:rsidP="00607B8B">
      <w:pPr>
        <w:jc w:val="center"/>
      </w:pPr>
    </w:p>
    <w:p w14:paraId="3BEA6AB4"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P-55</w:t>
      </w:r>
      <w:r>
        <w:rPr>
          <w:b/>
          <w:bCs/>
          <w:sz w:val="26"/>
          <w:szCs w:val="26"/>
        </w:rPr>
        <w:t xml:space="preserve"> </w:t>
      </w:r>
    </w:p>
    <w:p w14:paraId="2B0C5E73" w14:textId="77777777" w:rsidR="00D30923" w:rsidRPr="00971952" w:rsidRDefault="00D30923" w:rsidP="00D30923">
      <w:pPr>
        <w:spacing w:after="0"/>
        <w:jc w:val="center"/>
        <w:rPr>
          <w:b/>
          <w:bCs/>
          <w:sz w:val="26"/>
          <w:szCs w:val="26"/>
        </w:rPr>
      </w:pPr>
      <w:r w:rsidRPr="0092723F">
        <w:rPr>
          <w:b/>
          <w:bCs/>
          <w:noProof/>
          <w:sz w:val="26"/>
          <w:szCs w:val="26"/>
        </w:rPr>
        <w:t>Assessing Sunscreen Safety: A GC–MS Study of Benzene Contamination and Analytical Method Development</w:t>
      </w:r>
    </w:p>
    <w:p w14:paraId="14901A34" w14:textId="77777777" w:rsidR="00D30923" w:rsidRDefault="00D30923" w:rsidP="00D30923">
      <w:pPr>
        <w:spacing w:after="0" w:line="240" w:lineRule="auto"/>
        <w:jc w:val="center"/>
      </w:pPr>
      <w:r>
        <w:rPr>
          <w:noProof/>
        </w:rPr>
        <w:t>Escudero Cano, Marta</w:t>
      </w:r>
    </w:p>
    <w:p w14:paraId="7749E7BF" w14:textId="77777777" w:rsidR="00D30923" w:rsidRDefault="00D30923" w:rsidP="00D30923">
      <w:pPr>
        <w:spacing w:after="0" w:line="240" w:lineRule="auto"/>
        <w:jc w:val="center"/>
      </w:pPr>
      <w:r>
        <w:rPr>
          <w:noProof/>
        </w:rPr>
        <w:t>Lenior-Rhyne University</w:t>
      </w:r>
    </w:p>
    <w:p w14:paraId="694C86B1" w14:textId="77777777" w:rsidR="00D30923" w:rsidRDefault="00D30923" w:rsidP="00D30923">
      <w:pPr>
        <w:spacing w:after="0" w:line="240" w:lineRule="auto"/>
        <w:jc w:val="center"/>
      </w:pPr>
    </w:p>
    <w:p w14:paraId="37D81B54" w14:textId="77777777" w:rsidR="00D30923" w:rsidRDefault="00D30923" w:rsidP="00D30923">
      <w:pPr>
        <w:spacing w:after="0" w:line="240" w:lineRule="auto"/>
        <w:rPr>
          <w:noProof/>
        </w:rPr>
      </w:pPr>
      <w:r>
        <w:rPr>
          <w:noProof/>
        </w:rPr>
        <w:t>Concerns regarding consumer safety and regulatory compliance have been raised by the discovery of benzene, a known carcinogen, in some commercial sunscreen products in earlier research. Because of its carcinogenic qualities, benzene poses health concerns even at trace amounts, underscoring the necessity of closely monitoring personal care products. This study's primary objectives were to determine whether benzene was present in four commercially available sunscreens and to develop a sensitive analytical technique that could identify traces of contamination.</w:t>
      </w:r>
    </w:p>
    <w:p w14:paraId="789D35FC" w14:textId="77777777" w:rsidR="00D30923" w:rsidRDefault="00D30923" w:rsidP="00D30923">
      <w:pPr>
        <w:spacing w:after="0" w:line="240" w:lineRule="auto"/>
        <w:rPr>
          <w:noProof/>
        </w:rPr>
      </w:pPr>
      <w:r>
        <w:rPr>
          <w:noProof/>
        </w:rPr>
        <w:t>To guarantee correct extraction and compatibility with gas chromatography–mass spectrometry (GC–MS), sunscreen samples and the benzene standard were dissolved in hexane before analysis. Selected Ion Monitoring (SIM/IMR), which concentrated on the distinctive benzene ion (m/z = 78) with a retention duration of 0–2.40 minutes, was carried out in conjunction with full-scan GC–MS analysis. No benzene-corresponding peaks were seen in any of the sunscreen samples, suggesting that there was no discernible contamination. By increasing sensitivity, the SIM/IMR technique verified that trace benzene would have been found if it had been present. The study was unaffected by a small ethanol signal in the benzene standard, which was ascribed to lingering instrument contamination from prior laboratory use.</w:t>
      </w:r>
    </w:p>
    <w:p w14:paraId="422D07E5" w14:textId="77777777" w:rsidR="00D30923" w:rsidRDefault="00D30923" w:rsidP="00D30923">
      <w:pPr>
        <w:spacing w:after="0" w:line="240" w:lineRule="auto"/>
      </w:pPr>
      <w:r>
        <w:rPr>
          <w:noProof/>
        </w:rPr>
        <w:t>These findings reassure consumers regarding the safety of the tested sunscreens by showing that there is no detectable benzene. Furthermore, the study effectively developed a dependable framework for tracking trace pollutants in consumer goods by integrating solvent extraction with hexane, full-scan GC–MS, and SIM/IMR. By guaranteeing the security of commonly used personal care items, this strategy promotes regulatory compliance and helps safeguard public health.</w:t>
      </w:r>
    </w:p>
    <w:p w14:paraId="4F8DD1E2" w14:textId="77777777" w:rsidR="00607B8B" w:rsidRPr="00C13D2E"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A7F46E6"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P-56</w:t>
      </w:r>
      <w:r>
        <w:rPr>
          <w:b/>
          <w:bCs/>
          <w:sz w:val="26"/>
          <w:szCs w:val="26"/>
        </w:rPr>
        <w:t xml:space="preserve"> </w:t>
      </w:r>
    </w:p>
    <w:p w14:paraId="2FCFE5C2" w14:textId="77777777" w:rsidR="00D30923" w:rsidRPr="00971952" w:rsidRDefault="00D30923" w:rsidP="00D30923">
      <w:pPr>
        <w:spacing w:after="0"/>
        <w:jc w:val="center"/>
        <w:rPr>
          <w:b/>
          <w:bCs/>
          <w:sz w:val="26"/>
          <w:szCs w:val="26"/>
        </w:rPr>
      </w:pPr>
      <w:r w:rsidRPr="0092723F">
        <w:rPr>
          <w:b/>
          <w:bCs/>
          <w:noProof/>
          <w:sz w:val="26"/>
          <w:szCs w:val="26"/>
        </w:rPr>
        <w:t>Effect of Estrogen on Male Pancreatic Cancer Cells</w:t>
      </w:r>
    </w:p>
    <w:p w14:paraId="55AE1526" w14:textId="77777777" w:rsidR="00D30923" w:rsidRDefault="00D30923" w:rsidP="00D30923">
      <w:pPr>
        <w:spacing w:after="0" w:line="240" w:lineRule="auto"/>
        <w:jc w:val="center"/>
      </w:pPr>
      <w:r>
        <w:rPr>
          <w:noProof/>
        </w:rPr>
        <w:t>Fioramonti, Abigail* Amanda Roman, Yuko J. Miyamoto</w:t>
      </w:r>
    </w:p>
    <w:p w14:paraId="126E2C32" w14:textId="77777777" w:rsidR="00D30923" w:rsidRDefault="00D30923" w:rsidP="00D30923">
      <w:pPr>
        <w:spacing w:after="0" w:line="240" w:lineRule="auto"/>
        <w:jc w:val="center"/>
      </w:pPr>
      <w:r>
        <w:rPr>
          <w:noProof/>
        </w:rPr>
        <w:t>Elon University</w:t>
      </w:r>
    </w:p>
    <w:p w14:paraId="27A24864" w14:textId="77777777" w:rsidR="00D30923" w:rsidRDefault="00D30923" w:rsidP="00D30923">
      <w:pPr>
        <w:spacing w:after="0" w:line="240" w:lineRule="auto"/>
        <w:jc w:val="center"/>
      </w:pPr>
    </w:p>
    <w:p w14:paraId="17BFF015" w14:textId="77777777" w:rsidR="00D30923" w:rsidRDefault="00D30923" w:rsidP="00D30923">
      <w:pPr>
        <w:spacing w:after="0" w:line="240" w:lineRule="auto"/>
      </w:pPr>
      <w:r>
        <w:rPr>
          <w:noProof/>
        </w:rPr>
        <w:t xml:space="preserve">Research studies have shown that women develop pancreatic ductal adenocarcinoma (PDAC) at lower rates and have marginally higher survival rates compared to males. A proposed reason for this is the higher levels of estrogen that women normally exhibit. The term “estrogen” typically refers to the type of estrogen known as estradiol, which is the form that will be utilized for this research due to its high affinity for all three estrogen receptors (ER): ERa, ERb, and G-protein coupled estrogen receptor (GPER). The cells used in this experiment are a PANC1 cell line derived from a male patient. PANC1 cells were </w:t>
      </w:r>
      <w:r>
        <w:rPr>
          <w:noProof/>
        </w:rPr>
        <w:lastRenderedPageBreak/>
        <w:t>treated with estradiol to confirm previous research that this does not influence the cells. The cells were treated with estradiol at 33 nM, 0.33 nM, and 0.0033 nM, and a control (no treatment), for 24 hours, which produced average cell counts of 1.3, 1.1, 0.9, and 1.4 x 105 cells/mL, respectively. These cell counts were determined using a hemocytometer. The estradiol concentrations used showed no difference when data was analyzed by ANOVA, shown by a p-value of 0.69. The estradiol treatment was replicated using a Presto Blue assay and higher concentrations of estradiol were used. Concentrations of 100 nM, 1 nM, 0.01 nM, and no treatment produced average cell counts of 1.8, 1.2, 1.5, and 1.6 x 105 cells/mL, respectively. Doing an ANOVA analysis on this data set produced a p-value of 0.016, indicating a difference with these estradiol concentrations. The next steps are to treat these PANC1 cells with chemotherapeutics and estrogen and compare results to a pancreatic cell line derived from a female patient to determine if there is a difference in response and any protective effects on either male or female cells.</w:t>
      </w:r>
    </w:p>
    <w:p w14:paraId="396A219B" w14:textId="7F026F66"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7981831"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P-57</w:t>
      </w:r>
      <w:r>
        <w:rPr>
          <w:b/>
          <w:bCs/>
          <w:sz w:val="26"/>
          <w:szCs w:val="26"/>
        </w:rPr>
        <w:t xml:space="preserve"> </w:t>
      </w:r>
    </w:p>
    <w:p w14:paraId="60E4E451" w14:textId="77777777" w:rsidR="00D30923" w:rsidRPr="00971952" w:rsidRDefault="00D30923" w:rsidP="00D30923">
      <w:pPr>
        <w:spacing w:after="0"/>
        <w:jc w:val="center"/>
        <w:rPr>
          <w:b/>
          <w:bCs/>
          <w:sz w:val="26"/>
          <w:szCs w:val="26"/>
        </w:rPr>
      </w:pPr>
      <w:r w:rsidRPr="0092723F">
        <w:rPr>
          <w:b/>
          <w:bCs/>
          <w:noProof/>
          <w:sz w:val="26"/>
          <w:szCs w:val="26"/>
        </w:rPr>
        <w:t>Investigating Gut-Brain Interactions in Alzheimer’s Disease Through the Zebrafish Model</w:t>
      </w:r>
    </w:p>
    <w:p w14:paraId="4817F36F" w14:textId="349A3787" w:rsidR="00D30923" w:rsidRDefault="00D30923" w:rsidP="00D30923">
      <w:pPr>
        <w:spacing w:after="0" w:line="240" w:lineRule="auto"/>
        <w:jc w:val="center"/>
      </w:pPr>
      <w:r>
        <w:rPr>
          <w:noProof/>
        </w:rPr>
        <w:t>Graham, Fritz*</w:t>
      </w:r>
    </w:p>
    <w:p w14:paraId="59E2B467" w14:textId="77777777" w:rsidR="00D30923" w:rsidRDefault="00D30923" w:rsidP="00D30923">
      <w:pPr>
        <w:spacing w:after="0" w:line="240" w:lineRule="auto"/>
        <w:jc w:val="center"/>
      </w:pPr>
      <w:r>
        <w:rPr>
          <w:noProof/>
        </w:rPr>
        <w:t>Elon University</w:t>
      </w:r>
    </w:p>
    <w:p w14:paraId="692FAD68" w14:textId="77777777" w:rsidR="00D30923" w:rsidRDefault="00D30923" w:rsidP="00D30923">
      <w:pPr>
        <w:spacing w:after="0" w:line="240" w:lineRule="auto"/>
        <w:jc w:val="center"/>
      </w:pPr>
    </w:p>
    <w:p w14:paraId="651C4E63" w14:textId="77777777" w:rsidR="00D30923" w:rsidRDefault="00D30923" w:rsidP="00D30923">
      <w:pPr>
        <w:spacing w:after="0" w:line="240" w:lineRule="auto"/>
      </w:pPr>
      <w:r>
        <w:rPr>
          <w:noProof/>
        </w:rPr>
        <w:t>Alzheimer’s Disease (AD) is a progressive neurodegenerative disorder characterized by cognitive decline and loss of memory. Currently, 7 million Americans and millions more worldwide, aged 65 and older, are affected. Despite its prevalence, the underlying causes of AD are still debated, and much research concerning AD pathology is underway. There is a need for effective and efficient model organisms for studying the disease’s common form, Sporadic AD (SAD). Zebrafish are a common and promising model for studying human disease, as they share similar brain and gastrointestinal structures to humans. Moreover, they possess appα and appβ, which are homologues of the human gene APP, associated with AD in humans. They can successfully be used to study AD and may provide an additional model for the gut-brain axis. Recent studies have highlighted the potential role of the gut microbiome in neurological diseases through this axis, with gut dysbiosis being hypothesized to lead to the onset and progression of AD. Zebrafish, however, have not yet been utilized to study the role of the gut-brain axis and its impact on AD. We hypothesize that gut dysbiosis contributes more significantly to the onset of AD. A chemical induction model using Okadaic Acid (OKA) for AD is attempted to be validated, with our results suggesting a viable threshold for OKA concentration and administration for successful induction of SAD in zebrafish. Our results indicate that antibiotic-induced gut dysbiosis plays a more significant role in the onset of SAD, evidenced by a significant reduction in bacterial abundance and statistically significant upregulation of appa within brain tissue. This suggests that a healthy microbiota may assist in brain homeostatic protection, and that its disruption may leave affected individuals at risk for developing neurodegenerative diseases like AD.</w:t>
      </w:r>
    </w:p>
    <w:p w14:paraId="09F8237B" w14:textId="7FF9780D"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F75CE4C"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P-58</w:t>
      </w:r>
      <w:r>
        <w:rPr>
          <w:b/>
          <w:bCs/>
          <w:sz w:val="26"/>
          <w:szCs w:val="26"/>
        </w:rPr>
        <w:t xml:space="preserve"> </w:t>
      </w:r>
    </w:p>
    <w:p w14:paraId="3577FE52" w14:textId="77777777" w:rsidR="00D30923" w:rsidRPr="00971952" w:rsidRDefault="00D30923" w:rsidP="00D30923">
      <w:pPr>
        <w:spacing w:after="0"/>
        <w:jc w:val="center"/>
        <w:rPr>
          <w:b/>
          <w:bCs/>
          <w:sz w:val="26"/>
          <w:szCs w:val="26"/>
        </w:rPr>
      </w:pPr>
      <w:r w:rsidRPr="0092723F">
        <w:rPr>
          <w:b/>
          <w:bCs/>
          <w:noProof/>
          <w:sz w:val="26"/>
          <w:szCs w:val="26"/>
        </w:rPr>
        <w:t>Comparative Analysis of Poliovirus in the U.S and Globally</w:t>
      </w:r>
    </w:p>
    <w:p w14:paraId="576458EB" w14:textId="77777777" w:rsidR="00D30923" w:rsidRDefault="00D30923" w:rsidP="00D30923">
      <w:pPr>
        <w:spacing w:after="0" w:line="240" w:lineRule="auto"/>
        <w:jc w:val="center"/>
      </w:pPr>
      <w:r>
        <w:rPr>
          <w:noProof/>
        </w:rPr>
        <w:t>Keen, Jonah*, Kindley, Violet*, Santos, Marilu</w:t>
      </w:r>
    </w:p>
    <w:p w14:paraId="3FB41400" w14:textId="77777777" w:rsidR="00D30923" w:rsidRDefault="00D30923" w:rsidP="00D30923">
      <w:pPr>
        <w:spacing w:after="0" w:line="240" w:lineRule="auto"/>
        <w:jc w:val="center"/>
      </w:pPr>
      <w:r>
        <w:rPr>
          <w:noProof/>
        </w:rPr>
        <w:t>University of North Carolina at Pembroke</w:t>
      </w:r>
    </w:p>
    <w:p w14:paraId="7A701BAA" w14:textId="77777777" w:rsidR="00D30923" w:rsidRDefault="00D30923" w:rsidP="00D30923">
      <w:pPr>
        <w:spacing w:after="0" w:line="240" w:lineRule="auto"/>
        <w:jc w:val="center"/>
      </w:pPr>
    </w:p>
    <w:p w14:paraId="39E23687" w14:textId="77777777" w:rsidR="00D30923" w:rsidRDefault="00D30923" w:rsidP="00D30923">
      <w:pPr>
        <w:spacing w:after="0" w:line="240" w:lineRule="auto"/>
      </w:pPr>
      <w:r>
        <w:rPr>
          <w:noProof/>
        </w:rPr>
        <w:t>Our research uses case studies to demonstrate that polio eradication remains an urgent global priority, requiring not only vaccines and scientific advances but also strong public health systems, effective surveillance, and public trust. Despite being largely eliminated in high-income countries, poliovirus continues to circulate globally. This is evident in the ongoing transmission within the African and Eastern Mediterranean regions. While wild poliovirus persists in Afghanistan and Pakistan, vaccine-derived poliovirus continues to emerge in areas with low vaccination rates, such as Haiti. A 2022 case in New York highlights the vulnerability of even well-resourced healthcare systems to the reintroduction and spread of the virus. The New York outbreak also reflects broader disparities in public health infrastructure, vaccination coverage, and sociopolitical conditions. Globally, challenges such as conflict and limited access to healthcare contribute to the persistence of outbreaks. Comparing the New York case to global patterns shows that modern surveillance methods, including wastewater monitoring and genomic sequencing, can detect and track poliovirus early and support more targeted public health responses. As long as gaps in vaccination and surveillance remain, the risk of continued spread does as well.</w:t>
      </w:r>
    </w:p>
    <w:p w14:paraId="3652B6EE" w14:textId="08474D7F"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E4092CB"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P-59</w:t>
      </w:r>
      <w:r>
        <w:rPr>
          <w:b/>
          <w:bCs/>
          <w:sz w:val="26"/>
          <w:szCs w:val="26"/>
        </w:rPr>
        <w:t xml:space="preserve"> </w:t>
      </w:r>
    </w:p>
    <w:p w14:paraId="2E4C306B" w14:textId="77777777" w:rsidR="00D30923" w:rsidRPr="00971952" w:rsidRDefault="00D30923" w:rsidP="00D30923">
      <w:pPr>
        <w:spacing w:after="0"/>
        <w:jc w:val="center"/>
        <w:rPr>
          <w:b/>
          <w:bCs/>
          <w:sz w:val="26"/>
          <w:szCs w:val="26"/>
        </w:rPr>
      </w:pPr>
      <w:r w:rsidRPr="0092723F">
        <w:rPr>
          <w:b/>
          <w:bCs/>
          <w:noProof/>
          <w:sz w:val="26"/>
          <w:szCs w:val="26"/>
        </w:rPr>
        <w:t>Design of a novel neurodevelopmental disorder-associated TaoK1 mutant to access the impact on autophosphorylation and mammalian cell morphology.</w:t>
      </w:r>
    </w:p>
    <w:p w14:paraId="3BEA34F7" w14:textId="77777777" w:rsidR="00D30923" w:rsidRDefault="00D30923" w:rsidP="00D30923">
      <w:pPr>
        <w:spacing w:after="0" w:line="240" w:lineRule="auto"/>
        <w:jc w:val="center"/>
      </w:pPr>
      <w:r>
        <w:rPr>
          <w:noProof/>
        </w:rPr>
        <w:t>Kidwell, Joseph*, Logan Nuckols, Karen Guzman</w:t>
      </w:r>
    </w:p>
    <w:p w14:paraId="22FEB522" w14:textId="77777777" w:rsidR="00D30923" w:rsidRDefault="00D30923" w:rsidP="00D30923">
      <w:pPr>
        <w:spacing w:after="0" w:line="240" w:lineRule="auto"/>
        <w:jc w:val="center"/>
      </w:pPr>
      <w:r>
        <w:rPr>
          <w:noProof/>
        </w:rPr>
        <w:t>Campbell University</w:t>
      </w:r>
    </w:p>
    <w:p w14:paraId="2077A52E" w14:textId="77777777" w:rsidR="00D30923" w:rsidRDefault="00D30923" w:rsidP="00D30923">
      <w:pPr>
        <w:spacing w:after="0" w:line="240" w:lineRule="auto"/>
        <w:jc w:val="center"/>
      </w:pPr>
    </w:p>
    <w:p w14:paraId="2908A8A9" w14:textId="77777777" w:rsidR="00D30923" w:rsidRDefault="00D30923" w:rsidP="00D30923">
      <w:pPr>
        <w:spacing w:after="0" w:line="240" w:lineRule="auto"/>
      </w:pPr>
      <w:r>
        <w:rPr>
          <w:noProof/>
        </w:rPr>
        <w:t xml:space="preserve">TaoK1 is a serine-threonine kinase implicated in neurodevelopmental disorders, including autism. Nearly 30 mutations have been identified that are associated with these disorders, but only four have been explored to determine their functional consequences at the molecular level. The goal of this project is to create one of the unexplored mutants, L315F, and to assess its function in vitro. As a positive control, and to test the mutagenesis method we would use, the previously assessed S111F mutation was created. The first attempts at site-directed mutagenesis using the QuikChange method yielded only wild-type (WT) clones as assessed by DNA sequencing. Review of the QuikChange method revealed several obstacles to the generation of the mutants: linear amplification during PCR, inclusion of excessive WT plasmid, and inefficient transformations due to non-ligated plasmid. Three approaches were taken to overcome these limitations: (1) addition of a ligation step to improve the transformation efficiency of the mutated plasmid, (2) </w:t>
      </w:r>
      <w:r>
        <w:rPr>
          <w:noProof/>
        </w:rPr>
        <w:lastRenderedPageBreak/>
        <w:t>amplification with primers that partially overlap to allow exponential amplification, and (3) inclusion of smaller amounts of WT plasmid in the reaction to increase the proportion of mutant-homoduplex plasmid. Including these improvements in a novel sister-PCR workflow improved transformation efficiency, but sequencing results were inconclusive. An alternate mutagenesis approach was then evaluated: NEB’s Q5 method. This method successfully produced the S111F mutant as verified by Sanger sequencing. We are now applying the NEB Q5 method to create the L315F mutant to then evaluate autophosphorylation and its ability to alter the morphology of mammalian cells in culture.</w:t>
      </w:r>
    </w:p>
    <w:p w14:paraId="2390EE5E" w14:textId="77777777" w:rsidR="00607B8B"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11266DA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P-60</w:t>
      </w:r>
      <w:r>
        <w:rPr>
          <w:b/>
          <w:bCs/>
          <w:sz w:val="26"/>
          <w:szCs w:val="26"/>
        </w:rPr>
        <w:t xml:space="preserve"> </w:t>
      </w:r>
    </w:p>
    <w:p w14:paraId="0A48FEB4" w14:textId="77777777" w:rsidR="00D30923" w:rsidRPr="00971952" w:rsidRDefault="00D30923" w:rsidP="00D30923">
      <w:pPr>
        <w:spacing w:after="0"/>
        <w:jc w:val="center"/>
        <w:rPr>
          <w:b/>
          <w:bCs/>
          <w:sz w:val="26"/>
          <w:szCs w:val="26"/>
        </w:rPr>
      </w:pPr>
      <w:r w:rsidRPr="0092723F">
        <w:rPr>
          <w:b/>
          <w:bCs/>
          <w:noProof/>
          <w:sz w:val="26"/>
          <w:szCs w:val="26"/>
        </w:rPr>
        <w:t>Comparative Analysis of Poliovirus in the U.S and Globally</w:t>
      </w:r>
    </w:p>
    <w:p w14:paraId="2D5FF5DD" w14:textId="77777777" w:rsidR="00D30923" w:rsidRDefault="00D30923" w:rsidP="00D30923">
      <w:pPr>
        <w:spacing w:after="0" w:line="240" w:lineRule="auto"/>
        <w:jc w:val="center"/>
      </w:pPr>
      <w:r>
        <w:rPr>
          <w:noProof/>
        </w:rPr>
        <w:t>Kindley, G. Violet*, Jonah  Keen, Marilu Santos</w:t>
      </w:r>
    </w:p>
    <w:p w14:paraId="5567FB25" w14:textId="77777777" w:rsidR="00D30923" w:rsidRDefault="00D30923" w:rsidP="00D30923">
      <w:pPr>
        <w:spacing w:after="0" w:line="240" w:lineRule="auto"/>
        <w:jc w:val="center"/>
      </w:pPr>
      <w:r>
        <w:rPr>
          <w:noProof/>
        </w:rPr>
        <w:t>University of North Carolina at Pembroke</w:t>
      </w:r>
    </w:p>
    <w:p w14:paraId="111AAECF" w14:textId="77777777" w:rsidR="00D30923" w:rsidRDefault="00D30923" w:rsidP="00D30923">
      <w:pPr>
        <w:spacing w:after="0" w:line="240" w:lineRule="auto"/>
        <w:jc w:val="center"/>
      </w:pPr>
    </w:p>
    <w:p w14:paraId="47B0F20C" w14:textId="77777777" w:rsidR="00D30923" w:rsidRDefault="00D30923" w:rsidP="00D30923">
      <w:pPr>
        <w:spacing w:after="0" w:line="240" w:lineRule="auto"/>
      </w:pPr>
      <w:r>
        <w:rPr>
          <w:noProof/>
        </w:rPr>
        <w:t>Our research uses case studies to demonstrate that polio eradication remains an urgent global priority, requiring not only vaccines and scientific advances but also strong public health systems, effective surveillance, and public trust. Despite being largely eliminated in high-income countries, poliovirus continues to circulate globally. This is evident in the ongoing transmission within the African and Eastern Mediterranean regions. While wild poliovirus persists in Afghanistan and Pakistan, vaccine-derived poliovirus continues to emerge in areas with low vaccination rates, such as Haiti. A 2022 case in New York highlights the vulnerability of even well-resourced healthcare systems to the reintroduction and spread of the virus. The New York outbreak also reflects broader disparities in public health infrastructure, vaccination coverage, and sociopolitical conditions. Globally, challenges such as conflict and limited access to healthcare contribute to the persistence of outbreaks. Comparing the New York case to global patterns shows that modern surveillance methods, including wastewater monitoring and genomic sequencing, can detect and track poliovirus early and support more targeted public health responses. As long as gaps in vaccination and surveillance remain, the risk of continued spread does as well.</w:t>
      </w:r>
    </w:p>
    <w:p w14:paraId="6A428EB3" w14:textId="23C58153"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66948CA"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P-61</w:t>
      </w:r>
      <w:r>
        <w:rPr>
          <w:b/>
          <w:bCs/>
          <w:sz w:val="26"/>
          <w:szCs w:val="26"/>
        </w:rPr>
        <w:t xml:space="preserve"> </w:t>
      </w:r>
    </w:p>
    <w:p w14:paraId="601A261A" w14:textId="77777777" w:rsidR="00D30923" w:rsidRPr="00971952" w:rsidRDefault="00D30923" w:rsidP="00D30923">
      <w:pPr>
        <w:spacing w:after="0"/>
        <w:jc w:val="center"/>
        <w:rPr>
          <w:b/>
          <w:bCs/>
          <w:sz w:val="26"/>
          <w:szCs w:val="26"/>
        </w:rPr>
      </w:pPr>
      <w:r w:rsidRPr="0092723F">
        <w:rPr>
          <w:b/>
          <w:bCs/>
          <w:noProof/>
          <w:sz w:val="26"/>
          <w:szCs w:val="26"/>
        </w:rPr>
        <w:t>The role of fusion proteins in the progression of pilocytic astrocytoma to glioblastoma</w:t>
      </w:r>
    </w:p>
    <w:p w14:paraId="6634A08A" w14:textId="77777777" w:rsidR="00D30923" w:rsidRDefault="00D30923" w:rsidP="00D30923">
      <w:pPr>
        <w:spacing w:after="0" w:line="240" w:lineRule="auto"/>
        <w:jc w:val="center"/>
      </w:pPr>
      <w:r>
        <w:rPr>
          <w:noProof/>
        </w:rPr>
        <w:t>Ransford, Sienna*</w:t>
      </w:r>
    </w:p>
    <w:p w14:paraId="0BFFB9F5" w14:textId="77777777" w:rsidR="00D30923" w:rsidRDefault="00D30923" w:rsidP="00D30923">
      <w:pPr>
        <w:spacing w:after="0" w:line="240" w:lineRule="auto"/>
        <w:jc w:val="center"/>
      </w:pPr>
      <w:r>
        <w:rPr>
          <w:noProof/>
        </w:rPr>
        <w:t>Elon University</w:t>
      </w:r>
    </w:p>
    <w:p w14:paraId="6C8DAE17" w14:textId="77777777" w:rsidR="00D30923" w:rsidRDefault="00D30923" w:rsidP="00D30923">
      <w:pPr>
        <w:spacing w:after="0" w:line="240" w:lineRule="auto"/>
        <w:jc w:val="center"/>
      </w:pPr>
    </w:p>
    <w:p w14:paraId="125C8A24" w14:textId="77777777" w:rsidR="00D30923" w:rsidRDefault="00D30923" w:rsidP="00D30923">
      <w:pPr>
        <w:spacing w:after="0" w:line="240" w:lineRule="auto"/>
      </w:pPr>
      <w:r>
        <w:rPr>
          <w:noProof/>
        </w:rPr>
        <w:t xml:space="preserve">Pilocytic astrocytoma (PA) is currently the most prevalent pediatric brain tumor found affecting children from the ages of 0-19 years old. PA is a benign WHO grade 1 tumor that in rare cases can progress to a more aggressive and malignant glioblastoma (GBM). GBM, a WHO grade 4 tumor, has a significantly worse prognosis and is much more difficult to </w:t>
      </w:r>
      <w:r>
        <w:rPr>
          <w:noProof/>
        </w:rPr>
        <w:lastRenderedPageBreak/>
        <w:t>surgically treat, unlike PA, which can normally be resected early in childhood. This discrepancy has led to a significant gap in research regarding the molecular mechanisms behind both PA formation and its progression to GBM. One mechanism known to drive PA development is the creation of gene fusions that result in fusion proteins. Gene fusions occur when there has been a structural rearrangement of DNA, resulting in segments of two different genes being placed in close genomic proximity. Oftentimes, the resulting fusion proteins have altered functions and are capable of either enhancing the proliferative capabilities of the original genes or negating their original cell cycle regulation functions, ultimately promoting oncogenic transformation. Despite being a relatively novel area of research, fusion proteins have already been linked to malignant progression in various other cancers. The St. Jude Cloud Genomics Platform (SJCGP), a database hosted by St. Jude Research Hospital which has de-identified patient RNA-seq data, was used to identify specific gene fusions that may have an impact on the progression of PA to GBM. Structural variations and resulting functional effects were predicted using the available data and the CICERO prediction program. We are currently analyzing PA and GBM files to discover fusion events and identify recurrent fusions between the two disease states. The overall goal of this study is to compare fusion events and investigate if specific gene fusions may be driving the transition from PA to GBM.</w:t>
      </w:r>
    </w:p>
    <w:p w14:paraId="032C3C35" w14:textId="50B7A934"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530E6869"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P-62</w:t>
      </w:r>
      <w:r>
        <w:rPr>
          <w:b/>
          <w:bCs/>
          <w:sz w:val="26"/>
          <w:szCs w:val="26"/>
        </w:rPr>
        <w:t xml:space="preserve"> </w:t>
      </w:r>
    </w:p>
    <w:p w14:paraId="6AC875F6" w14:textId="77777777" w:rsidR="00D30923" w:rsidRPr="00971952" w:rsidRDefault="00D30923" w:rsidP="00D30923">
      <w:pPr>
        <w:spacing w:after="0"/>
        <w:jc w:val="center"/>
        <w:rPr>
          <w:b/>
          <w:bCs/>
          <w:sz w:val="26"/>
          <w:szCs w:val="26"/>
        </w:rPr>
      </w:pPr>
      <w:r w:rsidRPr="0092723F">
        <w:rPr>
          <w:b/>
          <w:bCs/>
          <w:noProof/>
          <w:sz w:val="26"/>
          <w:szCs w:val="26"/>
        </w:rPr>
        <w:t>Effects of tef (eragrostis tef) supplementation on liver and kidney histomorphology in C57BL/6 mice fed low- and high-fat diets</w:t>
      </w:r>
    </w:p>
    <w:p w14:paraId="27624BD7" w14:textId="77777777" w:rsidR="00D30923" w:rsidRDefault="00D30923" w:rsidP="00D30923">
      <w:pPr>
        <w:spacing w:after="0" w:line="240" w:lineRule="auto"/>
        <w:jc w:val="center"/>
      </w:pPr>
      <w:r>
        <w:rPr>
          <w:noProof/>
        </w:rPr>
        <w:t>Jernigan, Bertha*, Delicia Esther Cardenas Vasquez, Ashlyn Stone, Mohammad Omar, Kwame Darfour-Oduro, Kimberly Allred, Steve Fordahl (Mentor), Ayalew Osena (Mentor) and Zhenquan Jia (Mentor)</w:t>
      </w:r>
    </w:p>
    <w:p w14:paraId="0104391F" w14:textId="77777777" w:rsidR="00D30923" w:rsidRDefault="00D30923" w:rsidP="00D30923">
      <w:pPr>
        <w:spacing w:after="0" w:line="240" w:lineRule="auto"/>
        <w:jc w:val="center"/>
      </w:pPr>
      <w:r>
        <w:rPr>
          <w:noProof/>
        </w:rPr>
        <w:t>University of North Carolina at Greensboro</w:t>
      </w:r>
    </w:p>
    <w:p w14:paraId="1A100EB7" w14:textId="77777777" w:rsidR="00D30923" w:rsidRDefault="00D30923" w:rsidP="00D30923">
      <w:pPr>
        <w:spacing w:after="0" w:line="240" w:lineRule="auto"/>
        <w:jc w:val="center"/>
      </w:pPr>
    </w:p>
    <w:p w14:paraId="75113BA6" w14:textId="77777777" w:rsidR="00D30923" w:rsidRDefault="00D30923" w:rsidP="00D30923">
      <w:pPr>
        <w:spacing w:after="0" w:line="240" w:lineRule="auto"/>
      </w:pPr>
      <w:r>
        <w:rPr>
          <w:noProof/>
        </w:rPr>
        <w:t xml:space="preserve">Tef (Eragrostis tef) is a small cereal grain that serves as a staple crop in East Africa. In recent years, it has gained popularity in Western countries, including the United States, due to its high nutritional value and naturally gluten-free composition. In our previous in vitro studies using human cell models, we demonstrated that tef grain extracts exhibit antioxidant properties and may modulate cellular pathways associated with oxidative stress and inflammation. However, in Vivo investigations of these effects remain limited. The purpose of this study was to evaluate the effects of dietary supplementation tef on liver and kidney histomorphology in C57BL/6 mice. Mice were assigned to two dietary groups (low-fat, 10%; and high-fat, 60%), and within each group, animals were treated with either 24% (with low fat) or 30% (with high fat) ivory tef or brown tef meals. Following the treatment period, mice were euthanized, and liver and kidney tissues were collected, processed, sectioned, and mounted onto histological slides for hematoxylin and eosin (H&amp;E) staining and microscopic analysis. Histological analyses are currently being conducted to assess tissue architecture, cellular integrity, and pathological alterations. </w:t>
      </w:r>
      <w:r>
        <w:rPr>
          <w:noProof/>
        </w:rPr>
        <w:lastRenderedPageBreak/>
        <w:t>This study would provide insight into the potential protective effects of tef supplementation in disease prevention.</w:t>
      </w:r>
    </w:p>
    <w:p w14:paraId="312A4B5A" w14:textId="4A96B76F"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3E99771D"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P-63</w:t>
      </w:r>
      <w:r>
        <w:rPr>
          <w:b/>
          <w:bCs/>
          <w:sz w:val="26"/>
          <w:szCs w:val="26"/>
        </w:rPr>
        <w:t xml:space="preserve"> </w:t>
      </w:r>
    </w:p>
    <w:p w14:paraId="207B6EF3" w14:textId="633BA3F6" w:rsidR="00D30923" w:rsidRPr="00971952" w:rsidRDefault="00D30923" w:rsidP="00D30923">
      <w:pPr>
        <w:spacing w:after="0"/>
        <w:jc w:val="center"/>
        <w:rPr>
          <w:b/>
          <w:bCs/>
          <w:sz w:val="26"/>
          <w:szCs w:val="26"/>
        </w:rPr>
      </w:pPr>
      <w:r w:rsidRPr="0092723F">
        <w:rPr>
          <w:b/>
          <w:bCs/>
          <w:noProof/>
          <w:sz w:val="26"/>
          <w:szCs w:val="26"/>
        </w:rPr>
        <w:t>Identification of human brain structural integrity using coronal-sectioning tissue isolation techniques and methodology; Set for utilizing Elon University’s Maker Hub technology, to improve visualization of regional integrity at different neuroanatomical</w:t>
      </w:r>
      <w:r w:rsidR="004E5843">
        <w:rPr>
          <w:b/>
          <w:bCs/>
          <w:noProof/>
          <w:sz w:val="26"/>
          <w:szCs w:val="26"/>
        </w:rPr>
        <w:t xml:space="preserve"> </w:t>
      </w:r>
      <w:r w:rsidR="00944574">
        <w:rPr>
          <w:b/>
          <w:bCs/>
          <w:noProof/>
          <w:sz w:val="26"/>
          <w:szCs w:val="26"/>
        </w:rPr>
        <w:t>scales</w:t>
      </w:r>
    </w:p>
    <w:p w14:paraId="3A5C2AD5" w14:textId="77777777" w:rsidR="00D30923" w:rsidRDefault="00D30923" w:rsidP="00D30923">
      <w:pPr>
        <w:spacing w:after="0" w:line="240" w:lineRule="auto"/>
        <w:jc w:val="center"/>
      </w:pPr>
      <w:r>
        <w:rPr>
          <w:noProof/>
        </w:rPr>
        <w:t>Karcz, Jordyn*, Matthew Clark</w:t>
      </w:r>
    </w:p>
    <w:p w14:paraId="7CE3FCF3" w14:textId="77777777" w:rsidR="00D30923" w:rsidRDefault="00D30923" w:rsidP="00D30923">
      <w:pPr>
        <w:spacing w:after="0" w:line="240" w:lineRule="auto"/>
        <w:jc w:val="center"/>
      </w:pPr>
      <w:r>
        <w:rPr>
          <w:noProof/>
        </w:rPr>
        <w:t>Elon University</w:t>
      </w:r>
    </w:p>
    <w:p w14:paraId="516BF2BC" w14:textId="77777777" w:rsidR="00D30923" w:rsidRDefault="00D30923" w:rsidP="00D30923">
      <w:pPr>
        <w:spacing w:after="0" w:line="240" w:lineRule="auto"/>
        <w:jc w:val="center"/>
      </w:pPr>
    </w:p>
    <w:p w14:paraId="354BE4E6" w14:textId="77777777" w:rsidR="00D30923" w:rsidRDefault="00D30923" w:rsidP="00D30923">
      <w:pPr>
        <w:spacing w:after="0" w:line="240" w:lineRule="auto"/>
      </w:pPr>
      <w:r>
        <w:rPr>
          <w:noProof/>
        </w:rPr>
        <w:t>Understanding how different regions of the human brain relate to one another across successive cross-sections remains a challenge in human neuroanatomy education. This project develops a novel and reproducible workflow for enhancing human brain coronal sections through systematic tissue preparation, preservation, imaging, and Maker Hub-assisted fabrication. Human Donor brain specimens preserved in Carosafe are sectioned at 0.5 cm intervals to preserve anatomical transitions.  Sections will be collected from the most posterior cerebral region through deeper brain regions of the central brain and brainstem, through the most ventral cerebral region. Each section will be preserved and frozen for 24 hours. At this point 0.5 cm sectioned brain samples will be photographed to document structural integrity across levels. Digital Images and preserved sections are to be pedagogically compared and evaluated for neurological structural integrity. Structural Images will be enhanced using Digital Imaging by Elon University’s Maker Hub. Here proportionally accurate and structurally reinforced physical representations will be created to improve clarity, long-term instructional durability and pedagogy. These fabricated models will be anatomically labeled using established brain atlases, emphasizing regional organization and structural continuity across successive sections. This methodology has not previously been implemented in neuroanatomy instructional pedagogy. After the initial coronal sectioning workflow is completed, future research will follow these established protocols, to expand the studies to horizontal brain sectioning pedagogy. This will allow continued development of comprehensive sectional brain resources. By creating a reproducible and transferable model, this project establishes a sustainable foundation for ongoing research collaboration and enhanced anatomy instruction. Quality visual enhancement of coronal and horizontal brain sectioning collaborates with medical imaging methods. This enhances the understanding of complexities within brain structures during a neuroanatomical-related college experience. These methods contribute to bridging the gap between undergraduate education and the utilization of medical imaging technology.</w:t>
      </w:r>
    </w:p>
    <w:p w14:paraId="3B9913C9" w14:textId="5E798815"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6854CA53" w14:textId="77777777" w:rsidR="008358A3" w:rsidRDefault="008358A3" w:rsidP="00607B8B">
      <w:pPr>
        <w:jc w:val="center"/>
      </w:pPr>
    </w:p>
    <w:p w14:paraId="6DCB3E27" w14:textId="77777777" w:rsidR="00944574" w:rsidRDefault="00944574" w:rsidP="00607B8B">
      <w:pPr>
        <w:jc w:val="center"/>
      </w:pPr>
    </w:p>
    <w:p w14:paraId="7A98E3C0"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P-64</w:t>
      </w:r>
      <w:r>
        <w:rPr>
          <w:b/>
          <w:bCs/>
          <w:sz w:val="26"/>
          <w:szCs w:val="26"/>
        </w:rPr>
        <w:t xml:space="preserve"> </w:t>
      </w:r>
    </w:p>
    <w:p w14:paraId="566645DE" w14:textId="77777777" w:rsidR="00D30923" w:rsidRPr="00971952" w:rsidRDefault="00D30923" w:rsidP="00D30923">
      <w:pPr>
        <w:spacing w:after="0"/>
        <w:jc w:val="center"/>
        <w:rPr>
          <w:b/>
          <w:bCs/>
          <w:sz w:val="26"/>
          <w:szCs w:val="26"/>
        </w:rPr>
      </w:pPr>
      <w:r w:rsidRPr="0092723F">
        <w:rPr>
          <w:b/>
          <w:bCs/>
          <w:noProof/>
          <w:sz w:val="26"/>
          <w:szCs w:val="26"/>
        </w:rPr>
        <w:t>Stabilization of Alcohol Dehydrogenase by Tardigrade-Specific Cytosolic Abundant Heat Soluble Protein A</w:t>
      </w:r>
    </w:p>
    <w:p w14:paraId="2C933F13" w14:textId="77777777" w:rsidR="00D30923" w:rsidRDefault="00D30923" w:rsidP="00D30923">
      <w:pPr>
        <w:spacing w:after="0" w:line="240" w:lineRule="auto"/>
        <w:jc w:val="center"/>
      </w:pPr>
      <w:r>
        <w:rPr>
          <w:noProof/>
        </w:rPr>
        <w:t>Sinha, Ishaan*(12), Srestha Vuppala(12), Ishan Mandal(12), Brooke E. Christian(1)</w:t>
      </w:r>
    </w:p>
    <w:p w14:paraId="27E7852F" w14:textId="77777777" w:rsidR="00D30923" w:rsidRDefault="00D30923" w:rsidP="00D30923">
      <w:pPr>
        <w:spacing w:after="0" w:line="240" w:lineRule="auto"/>
        <w:jc w:val="center"/>
      </w:pPr>
      <w:r>
        <w:rPr>
          <w:noProof/>
        </w:rPr>
        <w:t>1 Department of Chemistry, Appalachian State University, Boone, NC 28608, USA. 2 Summer Ventures in Science and Mathematics, North Carolina School of Science and Mathematics</w:t>
      </w:r>
    </w:p>
    <w:p w14:paraId="77ED2846" w14:textId="77777777" w:rsidR="00D30923" w:rsidRDefault="00D30923" w:rsidP="00D30923">
      <w:pPr>
        <w:spacing w:after="0" w:line="240" w:lineRule="auto"/>
        <w:jc w:val="center"/>
      </w:pPr>
    </w:p>
    <w:p w14:paraId="602EFB37" w14:textId="77777777" w:rsidR="00D30923" w:rsidRDefault="00D30923" w:rsidP="00D30923">
      <w:pPr>
        <w:spacing w:after="0" w:line="240" w:lineRule="auto"/>
      </w:pPr>
      <w:r>
        <w:rPr>
          <w:noProof/>
        </w:rPr>
        <w:t>Tardigrades, commonly known as water bears, have the ability to survive extreme environmental stresses, including desiccation. Desiccation survival is attributed to a class of intrinsically disordered proteins (IDPs) known as Cytoplasmic Abundant Heat Soluble (CAHS) proteins. Prior studies have demonstrated that CAHS proteins can vitrify and form protective gels, stabilizing proteins and cellular structures when desiccated. One protein from the CAHS family, CAHS D, has been shown to protect the activity of both alcohol dehydrogenase (ADH) and lactate dehydrogenase when desiccated or exposed to heat stress. Another protein from this family is CAHS A, which shares 48.18% identity with CAHS D. This study aims to characterize, optimize expression, purify, and investigate the ability of CAHS A to protect ADH when exposed to thermal stress. The CAHS A protein was expressed in E. coli, and optimal expression was achieved when cells were induced with 100 µM IPTG and allowed to express CAHS A for 3 hours at 37 °C. The protein was purified by boiling lysis followed by fast protein liquid chromatography using a cation exchange column. SDS-PAGE confirmed the presence of a band around 26 kDa, consistent with the predicted molecular weight of CAHS A. To evaluate the protective capacity of CAHS A, ADH was heated at 55 °C for an hour in the presence and absence of CAHS A. Results demonstrated that, after 60 min at 55 °C, ADH in the presence of CAHS A retained twice as much activity as ADH alone. These findings support the idea that CAHS A can serve as a molecular shield and can be used to stabilize proteins in solution. Since CAHS A can preserve enzyme activity, it has the potential to be used in protecting protein-based therapeutics in extreme environments.</w:t>
      </w:r>
    </w:p>
    <w:p w14:paraId="05685B81" w14:textId="3BBAA8FD"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F8B144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P-65</w:t>
      </w:r>
      <w:r>
        <w:rPr>
          <w:b/>
          <w:bCs/>
          <w:sz w:val="26"/>
          <w:szCs w:val="26"/>
        </w:rPr>
        <w:t xml:space="preserve"> </w:t>
      </w:r>
    </w:p>
    <w:p w14:paraId="65955B94" w14:textId="77777777" w:rsidR="00D30923" w:rsidRPr="00971952" w:rsidRDefault="00D30923" w:rsidP="00D30923">
      <w:pPr>
        <w:spacing w:after="0"/>
        <w:jc w:val="center"/>
        <w:rPr>
          <w:b/>
          <w:bCs/>
          <w:sz w:val="26"/>
          <w:szCs w:val="26"/>
        </w:rPr>
      </w:pPr>
      <w:r w:rsidRPr="0092723F">
        <w:rPr>
          <w:b/>
          <w:bCs/>
          <w:noProof/>
          <w:sz w:val="26"/>
          <w:szCs w:val="26"/>
        </w:rPr>
        <w:t xml:space="preserve">Evaluating Eugenol as a HOG-1 Dependent Osmotic Stress Mimetic in </w:t>
      </w:r>
      <w:r w:rsidRPr="001D4FF4">
        <w:rPr>
          <w:b/>
          <w:bCs/>
          <w:i/>
          <w:iCs/>
          <w:noProof/>
          <w:sz w:val="26"/>
          <w:szCs w:val="26"/>
        </w:rPr>
        <w:t>Saccharomyces cerevisiae</w:t>
      </w:r>
    </w:p>
    <w:p w14:paraId="2DE725AB" w14:textId="77777777" w:rsidR="00D30923" w:rsidRDefault="00D30923" w:rsidP="00D30923">
      <w:pPr>
        <w:spacing w:after="0" w:line="240" w:lineRule="auto"/>
        <w:jc w:val="center"/>
      </w:pPr>
      <w:r>
        <w:rPr>
          <w:noProof/>
        </w:rPr>
        <w:t>Wondzi Precioius*, Velasquez Emily, Krishna Savitha, Ye Jing</w:t>
      </w:r>
    </w:p>
    <w:p w14:paraId="179CCFFD" w14:textId="77777777" w:rsidR="00D30923" w:rsidRDefault="00D30923" w:rsidP="00D30923">
      <w:pPr>
        <w:spacing w:after="0" w:line="240" w:lineRule="auto"/>
        <w:jc w:val="center"/>
      </w:pPr>
      <w:r>
        <w:rPr>
          <w:noProof/>
        </w:rPr>
        <w:t>Salem College</w:t>
      </w:r>
    </w:p>
    <w:p w14:paraId="75E3DF98" w14:textId="77777777" w:rsidR="00D30923" w:rsidRDefault="00D30923" w:rsidP="00D30923">
      <w:pPr>
        <w:spacing w:after="0" w:line="240" w:lineRule="auto"/>
        <w:jc w:val="center"/>
      </w:pPr>
    </w:p>
    <w:p w14:paraId="4205BD62" w14:textId="77777777" w:rsidR="00D30923" w:rsidRDefault="00D30923" w:rsidP="00D30923">
      <w:pPr>
        <w:spacing w:after="0" w:line="240" w:lineRule="auto"/>
        <w:rPr>
          <w:noProof/>
        </w:rPr>
      </w:pPr>
      <w:r>
        <w:rPr>
          <w:noProof/>
        </w:rPr>
        <w:t>Evaluating Eugenol as a HOG-1 Dependent Osmotic Stress Mimetic in Saccharomyces cerevisiae</w:t>
      </w:r>
    </w:p>
    <w:p w14:paraId="713F397B" w14:textId="77777777" w:rsidR="00D30923" w:rsidRDefault="00D30923" w:rsidP="00D30923">
      <w:pPr>
        <w:spacing w:after="0" w:line="240" w:lineRule="auto"/>
        <w:rPr>
          <w:noProof/>
        </w:rPr>
      </w:pPr>
      <w:r>
        <w:rPr>
          <w:noProof/>
        </w:rPr>
        <w:t xml:space="preserve">Cells constantly encounter environmental stress, and understanding how they respond is essential for studying basic biology and the effects of bioactive compounds. Eugenol, a major component of clove oil, is a naturally occurring compound known for its antimicrobial and biological activity, yet the mechanisms by which it affects living cells </w:t>
      </w:r>
      <w:r>
        <w:rPr>
          <w:noProof/>
        </w:rPr>
        <w:lastRenderedPageBreak/>
        <w:t>remain unclear. In this study, Saccharomyces cerevisiae (baker’s yeast) was used as a model organism to examine how eugenol influences cellular growth, survival, and morphology in comparison to a well-characterized stress condition: high salt.</w:t>
      </w:r>
    </w:p>
    <w:p w14:paraId="218D1E91" w14:textId="77777777" w:rsidR="00D30923" w:rsidRDefault="00D30923" w:rsidP="00D30923">
      <w:pPr>
        <w:spacing w:after="0" w:line="240" w:lineRule="auto"/>
        <w:rPr>
          <w:noProof/>
        </w:rPr>
      </w:pPr>
      <w:r>
        <w:rPr>
          <w:noProof/>
        </w:rPr>
        <w:t>Yeast cultures were exposed to salt or eugenol under controlled conditions, and their responses were evaluated using growth measurements, viability assays, and microscopic analysis of cell shape. Salt exposure produced classic stress responses, including slowed growth, delayed cell division, and pronounced cell elongation, consistent with activation of known osmotic stress-adaptation pathways. Eugenol treatment also reduced growth and altered cellular behavior; however, the resulting morphological patterns and growth dynamics differed from those observed under salt stress.</w:t>
      </w:r>
    </w:p>
    <w:p w14:paraId="3DDA7652" w14:textId="77777777" w:rsidR="00D30923" w:rsidRDefault="00D30923" w:rsidP="00D30923">
      <w:pPr>
        <w:spacing w:after="0" w:line="240" w:lineRule="auto"/>
      </w:pPr>
      <w:r>
        <w:rPr>
          <w:noProof/>
        </w:rPr>
        <w:t>These findings suggest that while eugenol acts as a cellular stressor, it does not fully mimic the effects of osmotic stress and may activate stress responses through a distinct or partially overlapping mechanism. This work establishes a baseline for comparing natural compounds to well-defined stress conditions and highlights yeast as a powerful model for studying how bioactive molecules influence cellular physiology. Future experiments will investigate whether eugenol engages the same stress-response pathways as salt or acts through alternative signaling mechanisms.</w:t>
      </w:r>
    </w:p>
    <w:p w14:paraId="00F9F2DF" w14:textId="7162633A"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0FE708A4"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P-66</w:t>
      </w:r>
      <w:r>
        <w:rPr>
          <w:b/>
          <w:bCs/>
          <w:sz w:val="26"/>
          <w:szCs w:val="26"/>
        </w:rPr>
        <w:t xml:space="preserve"> </w:t>
      </w:r>
    </w:p>
    <w:p w14:paraId="2D4334D3" w14:textId="77777777" w:rsidR="00D30923" w:rsidRPr="00971952" w:rsidRDefault="00D30923" w:rsidP="00D30923">
      <w:pPr>
        <w:spacing w:after="0"/>
        <w:jc w:val="center"/>
        <w:rPr>
          <w:b/>
          <w:bCs/>
          <w:sz w:val="26"/>
          <w:szCs w:val="26"/>
        </w:rPr>
      </w:pPr>
      <w:r w:rsidRPr="0092723F">
        <w:rPr>
          <w:b/>
          <w:bCs/>
          <w:noProof/>
          <w:sz w:val="26"/>
          <w:szCs w:val="26"/>
        </w:rPr>
        <w:t>Predicting Health from the Oral Microbiome Using Machine Learning: A bioinformatics approach to identifying microbial patterns associated with health and rheumatoid arthritis</w:t>
      </w:r>
    </w:p>
    <w:p w14:paraId="064E5F4E" w14:textId="77777777" w:rsidR="00D30923" w:rsidRDefault="00D30923" w:rsidP="00D30923">
      <w:pPr>
        <w:spacing w:after="0" w:line="240" w:lineRule="auto"/>
        <w:jc w:val="center"/>
      </w:pPr>
      <w:r>
        <w:rPr>
          <w:noProof/>
        </w:rPr>
        <w:t>Jensen, Vivianna*, Ashley L. Bennett</w:t>
      </w:r>
    </w:p>
    <w:p w14:paraId="07AAEA99" w14:textId="77777777" w:rsidR="00D30923" w:rsidRDefault="00D30923" w:rsidP="00D30923">
      <w:pPr>
        <w:spacing w:after="0" w:line="240" w:lineRule="auto"/>
        <w:jc w:val="center"/>
      </w:pPr>
      <w:r>
        <w:rPr>
          <w:noProof/>
        </w:rPr>
        <w:t>Barton College, Department of Biology</w:t>
      </w:r>
    </w:p>
    <w:p w14:paraId="42F6B4B4" w14:textId="77777777" w:rsidR="00D30923" w:rsidRDefault="00D30923" w:rsidP="00D30923">
      <w:pPr>
        <w:spacing w:after="0" w:line="240" w:lineRule="auto"/>
        <w:jc w:val="center"/>
      </w:pPr>
    </w:p>
    <w:p w14:paraId="0D7F39AB" w14:textId="77777777" w:rsidR="00D30923" w:rsidRDefault="00D30923" w:rsidP="00D30923">
      <w:pPr>
        <w:spacing w:after="0" w:line="240" w:lineRule="auto"/>
      </w:pPr>
      <w:r>
        <w:rPr>
          <w:noProof/>
        </w:rPr>
        <w:t xml:space="preserve">Bioinformatics analysis of the human oral microbiome is facilitating a better understanding of the human oral microbial inhabitants, variation of the oral microbiome across individuals, and links to oral and systemic human health, disease, and function. This research aims to identify patterns in taxonomic composition associated with rheumatoid arthritis and health by integrating bioinformatics with supervised and unsupervised machine learning tools to cluster publicly available databases of the human oral microbiome for both healthy and rheumatoid arthritis cohorts. Specifically, supervised machine learning was used to train a classifier model to predict the risk of developing rheumatoid arthritis from a given microbial genus cluster. The microbial genus clusters were input into the classifier model for rheumatoid arthritis risk predictions. While the classifier model was not robust for predicting rheumatoid arthritis risk, the classifier was able to make robust predictions about healthy cohorts and identify specific species strongly correlated with health and identified some species of interest associated with rheumatoid arthritis. Although the classifier could not predict rheumatoid arthritis risk, the discovery of species strongly associated with healthy cohorts highlights the potential for probiotic-based preventive and therapeutic interventions. These findings highlight the importance of taxonomic analysis in facilitating disease risk predictions and advancing </w:t>
      </w:r>
      <w:r>
        <w:rPr>
          <w:noProof/>
        </w:rPr>
        <w:lastRenderedPageBreak/>
        <w:t>personalized dentistry and medicine, and reducing healthcare costs by implementing more targeted diagnostics and treatments.</w:t>
      </w:r>
    </w:p>
    <w:p w14:paraId="64D40FDD" w14:textId="1729B7B7"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6717AB6"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P-67</w:t>
      </w:r>
      <w:r>
        <w:rPr>
          <w:b/>
          <w:bCs/>
          <w:sz w:val="26"/>
          <w:szCs w:val="26"/>
        </w:rPr>
        <w:t xml:space="preserve"> </w:t>
      </w:r>
    </w:p>
    <w:p w14:paraId="3A7D6166" w14:textId="77777777" w:rsidR="00D30923" w:rsidRPr="00971952" w:rsidRDefault="00D30923" w:rsidP="00D30923">
      <w:pPr>
        <w:spacing w:after="0"/>
        <w:jc w:val="center"/>
        <w:rPr>
          <w:b/>
          <w:bCs/>
          <w:sz w:val="26"/>
          <w:szCs w:val="26"/>
        </w:rPr>
      </w:pPr>
      <w:r w:rsidRPr="0092723F">
        <w:rPr>
          <w:b/>
          <w:bCs/>
          <w:noProof/>
          <w:sz w:val="26"/>
          <w:szCs w:val="26"/>
        </w:rPr>
        <w:t>Mathematical Oncology Approaches to Modeling Glioblastoma Growth Dynamics</w:t>
      </w:r>
    </w:p>
    <w:p w14:paraId="770E5241" w14:textId="77777777" w:rsidR="00D30923" w:rsidRDefault="00D30923" w:rsidP="00D30923">
      <w:pPr>
        <w:spacing w:after="0" w:line="240" w:lineRule="auto"/>
        <w:jc w:val="center"/>
      </w:pPr>
      <w:r>
        <w:rPr>
          <w:noProof/>
        </w:rPr>
        <w:t>Kodali, Aryan*, Nathaniel Burchette, Ivan Cherednik</w:t>
      </w:r>
    </w:p>
    <w:p w14:paraId="7B767D66" w14:textId="77777777" w:rsidR="00D30923" w:rsidRDefault="00D30923" w:rsidP="00D30923">
      <w:pPr>
        <w:spacing w:after="0" w:line="240" w:lineRule="auto"/>
        <w:jc w:val="center"/>
      </w:pPr>
      <w:r>
        <w:rPr>
          <w:noProof/>
        </w:rPr>
        <w:t>Department of Mathematics, The University of North Carolina at Chapel Hill</w:t>
      </w:r>
    </w:p>
    <w:p w14:paraId="0BB5A094" w14:textId="77777777" w:rsidR="00D30923" w:rsidRDefault="00D30923" w:rsidP="00D30923">
      <w:pPr>
        <w:spacing w:after="0" w:line="240" w:lineRule="auto"/>
        <w:jc w:val="center"/>
      </w:pPr>
    </w:p>
    <w:p w14:paraId="51DDFE3E" w14:textId="77777777" w:rsidR="00D30923" w:rsidRDefault="00D30923" w:rsidP="00D30923">
      <w:pPr>
        <w:spacing w:after="0" w:line="240" w:lineRule="auto"/>
      </w:pPr>
      <w:r>
        <w:rPr>
          <w:noProof/>
        </w:rPr>
        <w:t>This study develops mathematical models to predict tumor sizes in glioblastoma multiforme (GBM), a notably aggressive brain tumor. It critiques existing estimation methods and presents a new model grounded in empirical data and mathematical fundamentals. The analysis is based on three assumptions: uniform cell composition, spatial independence, and minimal external impact on growth. It outlines GBM growth phases: rapid expansion, steady progression, and eventual saturation. The models elucidate the complex dynamics of GBM growth and aim to enhance tumor size prediction in clinical settings. Future work will focus on refining these models to determine optimal surgery timing for GBM patients.</w:t>
      </w:r>
    </w:p>
    <w:p w14:paraId="4C6F7E5E" w14:textId="7D7F756D"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C4FC0ED"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P-68</w:t>
      </w:r>
      <w:r>
        <w:rPr>
          <w:b/>
          <w:bCs/>
          <w:sz w:val="26"/>
          <w:szCs w:val="26"/>
        </w:rPr>
        <w:t xml:space="preserve"> </w:t>
      </w:r>
    </w:p>
    <w:p w14:paraId="4AA929B3" w14:textId="77777777" w:rsidR="00D30923" w:rsidRPr="00971952" w:rsidRDefault="00D30923" w:rsidP="00D30923">
      <w:pPr>
        <w:spacing w:after="0"/>
        <w:jc w:val="center"/>
        <w:rPr>
          <w:b/>
          <w:bCs/>
          <w:sz w:val="26"/>
          <w:szCs w:val="26"/>
        </w:rPr>
      </w:pPr>
      <w:r w:rsidRPr="0092723F">
        <w:rPr>
          <w:b/>
          <w:bCs/>
          <w:noProof/>
          <w:sz w:val="26"/>
          <w:szCs w:val="26"/>
        </w:rPr>
        <w:t>Differences in the Epigenetic Landscape of Diffuse Large B-Cell Lymphoma (DLBCL) and Hodgkins Lymphoma (HL) as Compared to Healthy Immune Cells</w:t>
      </w:r>
    </w:p>
    <w:p w14:paraId="56B19D8E" w14:textId="77777777" w:rsidR="00D30923" w:rsidRDefault="00D30923" w:rsidP="00D30923">
      <w:pPr>
        <w:spacing w:after="0" w:line="240" w:lineRule="auto"/>
        <w:jc w:val="center"/>
      </w:pPr>
      <w:r>
        <w:rPr>
          <w:noProof/>
        </w:rPr>
        <w:t>Theo Pawlik</w:t>
      </w:r>
    </w:p>
    <w:p w14:paraId="76F62F24" w14:textId="77777777" w:rsidR="00D30923" w:rsidRDefault="00D30923" w:rsidP="00D30923">
      <w:pPr>
        <w:spacing w:after="0" w:line="240" w:lineRule="auto"/>
        <w:jc w:val="center"/>
      </w:pPr>
      <w:r>
        <w:rPr>
          <w:noProof/>
        </w:rPr>
        <w:t>Elon University</w:t>
      </w:r>
    </w:p>
    <w:p w14:paraId="5D7B811F" w14:textId="77777777" w:rsidR="00D30923" w:rsidRDefault="00D30923" w:rsidP="00D30923">
      <w:pPr>
        <w:spacing w:after="0" w:line="240" w:lineRule="auto"/>
        <w:jc w:val="center"/>
      </w:pPr>
    </w:p>
    <w:p w14:paraId="661564A4" w14:textId="77777777" w:rsidR="00D30923" w:rsidRDefault="00D30923" w:rsidP="00D30923">
      <w:pPr>
        <w:spacing w:after="0" w:line="240" w:lineRule="auto"/>
      </w:pPr>
      <w:r>
        <w:rPr>
          <w:noProof/>
        </w:rPr>
        <w:t xml:space="preserve">Cancer is an aggressive disease characterized by the uncontrolled growth of cells caused by improper gene expression. Lymphoma is a type of cancer involving the lymphatic and immune systems. This cancer affects young and old people alike, and subtypes like Diffuse Large B-Cell Lymphoma (DLBCL) and Classical Hodgkins Lymphoma (CHL) have high rates of remittance and resistance. Recent advances in the field of genomics have changed the way we understand and study cancer. By looking at epigenetics, methods of regulating gene expression without altering the underlying DNA sequence, researchers are beginning to piece together a more comprehensive understanding of the mechanisms by which cancer develops. This bioinformatics-based project aims to answer the question “How do epigenetic mechanisms differ between healthy cells and those affected by DLBCL and CHL?”, by using publicly available next generation sequencing data. Specifically, we analyzed RNA-seq data, which provides information about which genes are being expressed. This data was downloaded, screened for quality, and processed to determine levels of gene expression. Differential analysis was conducted, and comparisons were drawn between different disease states. Analysis is still ongoing, however, we expect to identify over expressed oncogenes and under expressed tumor suppressors that may </w:t>
      </w:r>
      <w:r>
        <w:rPr>
          <w:noProof/>
        </w:rPr>
        <w:lastRenderedPageBreak/>
        <w:t>contribute to the shift from healthy cells into disease subtypes. We also expect to find differential expression of key lymphoblastic identity marker genes. In the future, this gene expression data will be integrated with chromatin accessibility and transcription factor binding data to create a more wholistic perspective on epigenomic differences between disease subtypes. These results could be used to create precision treatments and discover biomarkers that can predict progress.</w:t>
      </w:r>
    </w:p>
    <w:p w14:paraId="5DC2D45F" w14:textId="7FA05A59"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165A36D4"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P-69</w:t>
      </w:r>
      <w:r>
        <w:rPr>
          <w:b/>
          <w:bCs/>
          <w:sz w:val="26"/>
          <w:szCs w:val="26"/>
        </w:rPr>
        <w:t xml:space="preserve"> </w:t>
      </w:r>
    </w:p>
    <w:p w14:paraId="1DF60F3A" w14:textId="77777777" w:rsidR="00D30923" w:rsidRPr="00971952" w:rsidRDefault="00D30923" w:rsidP="00D30923">
      <w:pPr>
        <w:spacing w:after="0"/>
        <w:jc w:val="center"/>
        <w:rPr>
          <w:b/>
          <w:bCs/>
          <w:sz w:val="26"/>
          <w:szCs w:val="26"/>
        </w:rPr>
      </w:pPr>
      <w:r w:rsidRPr="0092723F">
        <w:rPr>
          <w:b/>
          <w:bCs/>
          <w:noProof/>
          <w:sz w:val="26"/>
          <w:szCs w:val="26"/>
        </w:rPr>
        <w:t>Beyond Antibiotics: Leveraging Genomics to Inform Pediatric Skin Infection Therapies</w:t>
      </w:r>
    </w:p>
    <w:p w14:paraId="03B2DDFE" w14:textId="77777777" w:rsidR="00D30923" w:rsidRDefault="00D30923" w:rsidP="00D30923">
      <w:pPr>
        <w:spacing w:after="0" w:line="240" w:lineRule="auto"/>
        <w:jc w:val="center"/>
      </w:pPr>
      <w:r>
        <w:rPr>
          <w:noProof/>
        </w:rPr>
        <w:t>Rohrer, Taylor*, Ewunkem, Akamu</w:t>
      </w:r>
    </w:p>
    <w:p w14:paraId="7FFB1C68" w14:textId="77777777" w:rsidR="00D30923" w:rsidRDefault="00D30923" w:rsidP="00D30923">
      <w:pPr>
        <w:spacing w:after="0" w:line="240" w:lineRule="auto"/>
        <w:jc w:val="center"/>
      </w:pPr>
      <w:r>
        <w:rPr>
          <w:noProof/>
        </w:rPr>
        <w:t>Winston Salem State University</w:t>
      </w:r>
    </w:p>
    <w:p w14:paraId="5F7DB864" w14:textId="77777777" w:rsidR="00D30923" w:rsidRDefault="00D30923" w:rsidP="00D30923">
      <w:pPr>
        <w:spacing w:after="0" w:line="240" w:lineRule="auto"/>
        <w:jc w:val="center"/>
      </w:pPr>
    </w:p>
    <w:p w14:paraId="7517C2D8" w14:textId="77777777" w:rsidR="00D30923" w:rsidRDefault="00D30923" w:rsidP="00D30923">
      <w:pPr>
        <w:spacing w:after="0" w:line="240" w:lineRule="auto"/>
        <w:rPr>
          <w:noProof/>
        </w:rPr>
      </w:pPr>
      <w:r>
        <w:rPr>
          <w:noProof/>
        </w:rPr>
        <w:t xml:space="preserve">Accurate identification of bacterial pathogens can be challenging in pediatric dermatologic cases when symptoms overlap with multiple conditions and standard treatments fail. In this study, a clinical cutaneous specimen was obtained from an infant presenting with a widespread rash that had been repeatedly misattributed to Gianotti-Crosti syndrome, molluscum contagiosum, idiopathic urticaria, chronic rhinitis and staphylococcal infections. Due to persistent symptoms and inconsistent treatment outcomes, a comprehensive microbiological investigation was conducted to determine the underlying cause.  The isolate was examined using a combination of classical microbiology techniques and advanced molecular methods. Initial characterization involved culture on selective and differential media, biochemical testing, Gram staining, and electron microscopy. Whole-genome sequencing was then used to confirm species identity, assess virulence potential, and identify antimicrobial resistance genes. This integrated analytical strategy allowed for precise classification of the organism and supported evidence-based treatment decisions. Following a 24-hour incubation period, cultured samples displayed variability in colony morphology, suggesting a mixed bacterial growth. Subsequent phenotypic and microscopic analysis demonstrated that most recovered organisms were Gram-positive cocci consistent with streptococcal species. A subset of the organisms exhibited bacillus morphology and appeared to fuse to the cocci. These findings indicated a mixed taxonomic group, warranting further genomic investigation to differentiate species and strain-level characteristics. </w:t>
      </w:r>
    </w:p>
    <w:p w14:paraId="2B9AD59A" w14:textId="77777777" w:rsidR="00D30923" w:rsidRDefault="00D30923" w:rsidP="00D30923">
      <w:pPr>
        <w:spacing w:after="0" w:line="240" w:lineRule="auto"/>
      </w:pPr>
      <w:r>
        <w:rPr>
          <w:noProof/>
        </w:rPr>
        <w:t xml:space="preserve">In addition to pathogen identification, this study evaluated nontraditional antimicrobial agents as potential alternatives to conventional antibiotics. Extracts derived from Zingiber officinale (ginger), Curcuma longa (turmeric), and Salvia Rosmarinus (rosemary), along with green-synthesized Ganoderma lucidum (reishi mushroom) nanoparticles, were tested for antimicrobial activity. All agents demonstrated notable inhibitory effects against clinical isolates after 24 hours of exposure. These findings highlight the potential of plant-derived compounds and biologically synthesized nanoparticles as alternative antimicrobial therapies, particularly in cases complicated by resistance or diagnostic ambiguity. A </w:t>
      </w:r>
      <w:r>
        <w:rPr>
          <w:noProof/>
        </w:rPr>
        <w:lastRenderedPageBreak/>
        <w:t>forthcoming report will detail the specific streptococcal strains identified and their associated antimicrobial resistance genes.</w:t>
      </w:r>
    </w:p>
    <w:p w14:paraId="6E01359B" w14:textId="1AADE0DB"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3F72722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P-70</w:t>
      </w:r>
      <w:r>
        <w:rPr>
          <w:b/>
          <w:bCs/>
          <w:sz w:val="26"/>
          <w:szCs w:val="26"/>
        </w:rPr>
        <w:t xml:space="preserve"> </w:t>
      </w:r>
    </w:p>
    <w:p w14:paraId="2491D294" w14:textId="77777777" w:rsidR="00D30923" w:rsidRPr="00971952" w:rsidRDefault="00D30923" w:rsidP="00D30923">
      <w:pPr>
        <w:spacing w:after="0"/>
        <w:jc w:val="center"/>
        <w:rPr>
          <w:b/>
          <w:bCs/>
          <w:sz w:val="26"/>
          <w:szCs w:val="26"/>
        </w:rPr>
      </w:pPr>
      <w:r w:rsidRPr="0092723F">
        <w:rPr>
          <w:b/>
          <w:bCs/>
          <w:noProof/>
          <w:sz w:val="26"/>
          <w:szCs w:val="26"/>
        </w:rPr>
        <w:t>Measuring the Cosmic Neutral Hydrogen Density with RESOLVE and ECO</w:t>
      </w:r>
    </w:p>
    <w:p w14:paraId="09484924" w14:textId="77777777" w:rsidR="00D30923" w:rsidRDefault="00D30923" w:rsidP="00D30923">
      <w:pPr>
        <w:spacing w:after="0" w:line="240" w:lineRule="auto"/>
        <w:jc w:val="center"/>
      </w:pPr>
      <w:r>
        <w:rPr>
          <w:noProof/>
        </w:rPr>
        <w:t>Matthew Rieck*, Zack Hutchens</w:t>
      </w:r>
    </w:p>
    <w:p w14:paraId="352AA798" w14:textId="77777777" w:rsidR="00D30923" w:rsidRDefault="00D30923" w:rsidP="00D30923">
      <w:pPr>
        <w:spacing w:after="0" w:line="240" w:lineRule="auto"/>
        <w:jc w:val="center"/>
      </w:pPr>
      <w:r>
        <w:rPr>
          <w:noProof/>
        </w:rPr>
        <w:t>Elon University</w:t>
      </w:r>
    </w:p>
    <w:p w14:paraId="406C50EE" w14:textId="77777777" w:rsidR="00D30923" w:rsidRDefault="00D30923" w:rsidP="00D30923">
      <w:pPr>
        <w:spacing w:after="0" w:line="240" w:lineRule="auto"/>
        <w:jc w:val="center"/>
      </w:pPr>
    </w:p>
    <w:p w14:paraId="166984B8" w14:textId="77777777" w:rsidR="00D30923" w:rsidRDefault="00D30923" w:rsidP="00D30923">
      <w:pPr>
        <w:spacing w:after="0" w:line="240" w:lineRule="auto"/>
      </w:pPr>
      <w:r>
        <w:rPr>
          <w:noProof/>
        </w:rPr>
        <w:t>In most galaxies, including our own Milky Way, the majority of gaseous material between stars is composed of neutral hydrogen (HI), an atom containing one proton and one electron. Because stars like our Sun form from gas clouds primarily composed of hydrogen gas, tracking the distribution and evolution of HI traces the cosmic history of star formation and the evolving “matter budget” of the Universe. The RESOLVE (REsolved Spectroscopy Of a Local VolumE) and ECO (the Environmental COntext catalog) surveys are statistically powerful data sets where HI is measured or estimated for approximately 10,000 galaxies. In this project, we infer the cosmic HI density in the Universe, the percentage of the present-day Universe composed of HI gas. To do so, we connect models describing (i) the distribution of HI in groups of galaxies and (ii) the numbers of galaxy groups of different masses in the Universe. We benchmark our measurement against the standard approach, which is based on the abundance of HI-detected galaxies in the Universe, illustrating whether measurements of the cosmic HI density are sensitive to methodology. By using this unique method to constrain the cosmic HI density we provide additional insight into the amount of neutral hydrogen and the gaseous matter of the present-day Universe.</w:t>
      </w:r>
    </w:p>
    <w:p w14:paraId="69153A8B" w14:textId="282E4CFE"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6E73CD12"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P-71</w:t>
      </w:r>
      <w:r>
        <w:rPr>
          <w:b/>
          <w:bCs/>
          <w:sz w:val="26"/>
          <w:szCs w:val="26"/>
        </w:rPr>
        <w:t xml:space="preserve"> </w:t>
      </w:r>
    </w:p>
    <w:p w14:paraId="6B8F1EED" w14:textId="77777777" w:rsidR="00D30923" w:rsidRPr="00971952" w:rsidRDefault="00D30923" w:rsidP="00D30923">
      <w:pPr>
        <w:spacing w:after="0"/>
        <w:jc w:val="center"/>
        <w:rPr>
          <w:b/>
          <w:bCs/>
          <w:sz w:val="26"/>
          <w:szCs w:val="26"/>
        </w:rPr>
      </w:pPr>
      <w:r w:rsidRPr="0092723F">
        <w:rPr>
          <w:b/>
          <w:bCs/>
          <w:noProof/>
          <w:sz w:val="26"/>
          <w:szCs w:val="26"/>
        </w:rPr>
        <w:t>RESOLVE, ECO, and eRASS: Probing galaxy growth through cold and hot gas</w:t>
      </w:r>
    </w:p>
    <w:p w14:paraId="6CA25FCF" w14:textId="77777777" w:rsidR="00D30923" w:rsidRDefault="00D30923" w:rsidP="00D30923">
      <w:pPr>
        <w:spacing w:after="0" w:line="240" w:lineRule="auto"/>
        <w:jc w:val="center"/>
      </w:pPr>
      <w:r>
        <w:rPr>
          <w:noProof/>
        </w:rPr>
        <w:t>Parham, Ja'Mir*, Zackary Hutchens, Sheila Kannappan, Kelley Hess</w:t>
      </w:r>
    </w:p>
    <w:p w14:paraId="2C426FD4" w14:textId="77777777" w:rsidR="00D30923" w:rsidRDefault="00D30923" w:rsidP="00D30923">
      <w:pPr>
        <w:spacing w:after="0" w:line="240" w:lineRule="auto"/>
        <w:jc w:val="center"/>
      </w:pPr>
      <w:r>
        <w:rPr>
          <w:noProof/>
        </w:rPr>
        <w:t>Elon University</w:t>
      </w:r>
    </w:p>
    <w:p w14:paraId="0BC8D396" w14:textId="77777777" w:rsidR="00D30923" w:rsidRDefault="00D30923" w:rsidP="00D30923">
      <w:pPr>
        <w:spacing w:after="0" w:line="240" w:lineRule="auto"/>
        <w:jc w:val="center"/>
      </w:pPr>
    </w:p>
    <w:p w14:paraId="3269E47B" w14:textId="77777777" w:rsidR="00D30923" w:rsidRDefault="00D30923" w:rsidP="00D30923">
      <w:pPr>
        <w:spacing w:after="0" w:line="240" w:lineRule="auto"/>
      </w:pPr>
      <w:r>
        <w:rPr>
          <w:noProof/>
        </w:rPr>
        <w:t xml:space="preserve">Cold atomic hydrogen (HI) fuels long-term star formation in galaxies like the Milky Way. A galaxy’s environment strongly influences its HI content. Galaxies reside within massive dark matter halos with masses trillions of times that of the Sun which may regulate how HI flows into and out of galaxies. As these halos grow and form galaxy groups, their surroundings can determine whether galaxies replenish or lose their star-forming fuel. Previous work shows that hot plasma in galaxy groups can reduce a galaxy’s HI content either by removing HI directly or preventing its replenishment. However, the environmental conditions that cause HI gas loss remain an active area of research. To understand how galaxies gain or lose this fuel, we need both radio and X-ray data to observe the cold HI gas inside galaxies and the hot plasma surrounding them. My project combines radio measurements from the RESOLVE survey (REsolved Spectroscopy Of a Local VolumE) and the ECO survey (Environmental COntext survey), which together offer the most complete and uniform view of HI gas in the local Universe, with X-ray data from eROSITA, a space </w:t>
      </w:r>
      <w:r>
        <w:rPr>
          <w:noProof/>
        </w:rPr>
        <w:lastRenderedPageBreak/>
        <w:t>telescope conducting the most sensitive wide-area X-ray survey to date. By combining these surveys, we can determine when and where galaxies begin losing their star-forming fuel as their galaxy groups evolve. Our preliminary results show that galaxy groups with brighter X-ray emission likely contain galaxies with less cold HI gas on average than groups with fainter X-ray emission. To further examine this result, we present initial models of X-ray brightness profiles, illustrating how plasma density and temperature vary throughout galaxy groups. By directly linking hot plasma to the cold HI gas inside galaxies, this research project will clarify how galaxies like the Milky Way gradually shut down star formation and evolve over time.</w:t>
      </w:r>
    </w:p>
    <w:p w14:paraId="236F04FF" w14:textId="601E3DF0" w:rsidR="00D30923" w:rsidRPr="00607B8B" w:rsidRDefault="00607B8B" w:rsidP="00607B8B">
      <w:pPr>
        <w:jc w:val="center"/>
        <w:rPr>
          <w:rFonts w:ascii="Calibri" w:hAnsi="Calibri" w:cs="Calibri"/>
          <w:b/>
          <w:bCs/>
          <w:color w:val="000000"/>
          <w:kern w:val="0"/>
          <w:sz w:val="22"/>
          <w:szCs w:val="22"/>
        </w:rPr>
      </w:pPr>
      <w:hyperlink w:anchor="TableofContents" w:history="1">
        <w:r w:rsidRPr="45BF4E85">
          <w:rPr>
            <w:rStyle w:val="Hyperlink"/>
            <w:rFonts w:ascii="Calibri" w:hAnsi="Calibri" w:cs="Calibri"/>
            <w:b/>
            <w:bCs/>
            <w:kern w:val="0"/>
            <w:sz w:val="22"/>
            <w:szCs w:val="22"/>
          </w:rPr>
          <w:t>Return to Table of Contents</w:t>
        </w:r>
      </w:hyperlink>
    </w:p>
    <w:p w14:paraId="751F7AF5" w14:textId="77777777" w:rsidR="00D30923" w:rsidRDefault="00D30923" w:rsidP="00D30923">
      <w:pPr>
        <w:spacing w:after="0"/>
        <w:jc w:val="center"/>
        <w:rPr>
          <w:b/>
          <w:bCs/>
          <w:sz w:val="26"/>
          <w:szCs w:val="26"/>
        </w:rPr>
      </w:pPr>
      <w:r w:rsidRPr="00971952">
        <w:rPr>
          <w:b/>
          <w:bCs/>
          <w:sz w:val="26"/>
          <w:szCs w:val="26"/>
        </w:rPr>
        <w:t xml:space="preserve"> </w:t>
      </w:r>
      <w:r>
        <w:rPr>
          <w:b/>
          <w:bCs/>
          <w:sz w:val="26"/>
          <w:szCs w:val="26"/>
        </w:rPr>
        <w:t xml:space="preserve">Poster Abstract </w:t>
      </w:r>
      <w:r w:rsidRPr="0092723F">
        <w:rPr>
          <w:b/>
          <w:bCs/>
          <w:noProof/>
          <w:sz w:val="26"/>
          <w:szCs w:val="26"/>
        </w:rPr>
        <w:t>P-72</w:t>
      </w:r>
      <w:r>
        <w:rPr>
          <w:b/>
          <w:bCs/>
          <w:sz w:val="26"/>
          <w:szCs w:val="26"/>
        </w:rPr>
        <w:t xml:space="preserve"> </w:t>
      </w:r>
    </w:p>
    <w:p w14:paraId="53BCFE6A" w14:textId="77777777" w:rsidR="00D30923" w:rsidRPr="00971952" w:rsidRDefault="00D30923" w:rsidP="00D30923">
      <w:pPr>
        <w:spacing w:after="0"/>
        <w:jc w:val="center"/>
        <w:rPr>
          <w:b/>
          <w:bCs/>
          <w:sz w:val="26"/>
          <w:szCs w:val="26"/>
        </w:rPr>
      </w:pPr>
      <w:r w:rsidRPr="0092723F">
        <w:rPr>
          <w:b/>
          <w:bCs/>
          <w:noProof/>
          <w:sz w:val="26"/>
          <w:szCs w:val="26"/>
        </w:rPr>
        <w:t>Nanoscale morphology of Nd island arrays on Au thin films via AFM</w:t>
      </w:r>
    </w:p>
    <w:p w14:paraId="14791AA0" w14:textId="77777777" w:rsidR="00D30923" w:rsidRDefault="00D30923" w:rsidP="00D30923">
      <w:pPr>
        <w:spacing w:after="0" w:line="240" w:lineRule="auto"/>
        <w:jc w:val="center"/>
      </w:pPr>
      <w:r>
        <w:rPr>
          <w:noProof/>
        </w:rPr>
        <w:t>Ariell King*, Ibrahim Yakubu, Bernadeta Srijanta, and John T. Yi</w:t>
      </w:r>
    </w:p>
    <w:p w14:paraId="04FF381B" w14:textId="77777777" w:rsidR="00D30923" w:rsidRDefault="00D30923" w:rsidP="00D30923">
      <w:pPr>
        <w:spacing w:after="0" w:line="240" w:lineRule="auto"/>
        <w:jc w:val="center"/>
      </w:pPr>
      <w:r>
        <w:rPr>
          <w:noProof/>
        </w:rPr>
        <w:t>Winston-Salem State University, and CNMS: Oak Ridge National Laboratory</w:t>
      </w:r>
    </w:p>
    <w:p w14:paraId="4E181E54" w14:textId="77777777" w:rsidR="00D30923" w:rsidRDefault="00D30923" w:rsidP="00D30923">
      <w:pPr>
        <w:spacing w:after="0" w:line="240" w:lineRule="auto"/>
        <w:jc w:val="center"/>
      </w:pPr>
    </w:p>
    <w:p w14:paraId="0E50510A" w14:textId="77777777" w:rsidR="00D30923" w:rsidRDefault="00D30923" w:rsidP="00D30923">
      <w:pPr>
        <w:spacing w:after="0" w:line="240" w:lineRule="auto"/>
        <w:rPr>
          <w:noProof/>
        </w:rPr>
      </w:pPr>
      <w:r>
        <w:rPr>
          <w:noProof/>
        </w:rPr>
        <w:t>This work presents nanoscale characterization of neodymium (Nd) island arrays fabricated on gold (Au) thin films at Oak Ridge National Laboratory (ORNL), using atomic force microscopy (AFM). Precise control of nanoscale geometry and morphology is essential for understanding structure–property relationships in quantum materials and superconducting systems, where defects and dimensional variations can significantly impact device performance.</w:t>
      </w:r>
    </w:p>
    <w:p w14:paraId="3A419BEA" w14:textId="77777777" w:rsidR="00D30923" w:rsidRDefault="00D30923" w:rsidP="00D30923">
      <w:pPr>
        <w:spacing w:after="0" w:line="240" w:lineRule="auto"/>
        <w:rPr>
          <w:noProof/>
        </w:rPr>
      </w:pPr>
      <w:r>
        <w:rPr>
          <w:noProof/>
        </w:rPr>
        <w:t>The fabricated structures consist of patterned Nd island arrays with four-corner contact geometries designed for electrical measurements. The islands were engineered with varying shapes and cross-sectional dimensions ranging from approximately 100 nm to 1000 nm, along with systematically varied inter-island spacing. This design enables controlled studies of size- and spacing-dependent effects relevant to nanoscale transport and coupling phenomena. AFM measurements were performed to obtain high-resolution two-dimensional (2D) topography and three-dimensional (3D) surface reconstructions. The analysis reveals well-defined island features with precise dimensional control, including height profiles, lateral dimensions, and edge sharpness. Quantitative measurements confirm uniformity across the array while also identifying localized defects, such as edge irregularities, surface roughness variations, and clustering effects.</w:t>
      </w:r>
    </w:p>
    <w:p w14:paraId="02072B17" w14:textId="77777777" w:rsidR="00D30923" w:rsidRDefault="00D30923" w:rsidP="00D30923">
      <w:pPr>
        <w:spacing w:after="0" w:line="240" w:lineRule="auto"/>
      </w:pPr>
      <w:r>
        <w:rPr>
          <w:noProof/>
        </w:rPr>
        <w:t>Future work will focus on the fabrication of superconducting thin films using sputter deposition at Winston-Salem Hybrid Quantum Laboratory (WHQL), followed by systematic AFM and transport measurements to correlate nanoscale morphology with superconducting properties. This integrated approach will support the development of scalable quantum materials and device architectures for applications in quantum information science and engineering (QISE).</w:t>
      </w:r>
    </w:p>
    <w:p w14:paraId="680CC4FB" w14:textId="0AB41567" w:rsidR="00D30923" w:rsidRDefault="00607B8B" w:rsidP="00607B8B">
      <w:pPr>
        <w:jc w:val="center"/>
      </w:pPr>
      <w:hyperlink w:anchor="TableofContents" w:history="1">
        <w:r w:rsidRPr="45BF4E85">
          <w:rPr>
            <w:rStyle w:val="Hyperlink"/>
            <w:rFonts w:ascii="Calibri" w:hAnsi="Calibri" w:cs="Calibri"/>
            <w:b/>
            <w:bCs/>
            <w:kern w:val="0"/>
            <w:sz w:val="22"/>
            <w:szCs w:val="22"/>
          </w:rPr>
          <w:t>Return to Table of Contents</w:t>
        </w:r>
      </w:hyperlink>
    </w:p>
    <w:p w14:paraId="1F4597E6" w14:textId="77777777" w:rsidR="008358A3" w:rsidRDefault="008358A3" w:rsidP="00607B8B">
      <w:pPr>
        <w:jc w:val="center"/>
      </w:pPr>
    </w:p>
    <w:p w14:paraId="128054C8" w14:textId="77777777" w:rsidR="008358A3" w:rsidRPr="00607B8B" w:rsidRDefault="008358A3" w:rsidP="00607B8B">
      <w:pPr>
        <w:jc w:val="center"/>
        <w:rPr>
          <w:rFonts w:ascii="Calibri" w:hAnsi="Calibri" w:cs="Calibri"/>
          <w:b/>
          <w:bCs/>
          <w:color w:val="000000"/>
          <w:kern w:val="0"/>
          <w:sz w:val="22"/>
          <w:szCs w:val="22"/>
        </w:rPr>
      </w:pPr>
    </w:p>
    <w:p w14:paraId="4CEDB0CB" w14:textId="77777777" w:rsidR="00D30923" w:rsidRDefault="00D30923" w:rsidP="00D30923">
      <w:pPr>
        <w:spacing w:after="0"/>
        <w:jc w:val="center"/>
        <w:rPr>
          <w:b/>
          <w:bCs/>
          <w:sz w:val="26"/>
          <w:szCs w:val="26"/>
        </w:rPr>
      </w:pPr>
      <w:r w:rsidRPr="00971952">
        <w:rPr>
          <w:b/>
          <w:bCs/>
          <w:sz w:val="26"/>
          <w:szCs w:val="26"/>
        </w:rPr>
        <w:lastRenderedPageBreak/>
        <w:t xml:space="preserve"> </w:t>
      </w:r>
      <w:r>
        <w:rPr>
          <w:b/>
          <w:bCs/>
          <w:sz w:val="26"/>
          <w:szCs w:val="26"/>
        </w:rPr>
        <w:t xml:space="preserve">Poster Abstract </w:t>
      </w:r>
      <w:r w:rsidRPr="0092723F">
        <w:rPr>
          <w:b/>
          <w:bCs/>
          <w:noProof/>
          <w:sz w:val="26"/>
          <w:szCs w:val="26"/>
        </w:rPr>
        <w:t>P-73</w:t>
      </w:r>
      <w:r>
        <w:rPr>
          <w:b/>
          <w:bCs/>
          <w:sz w:val="26"/>
          <w:szCs w:val="26"/>
        </w:rPr>
        <w:t xml:space="preserve"> </w:t>
      </w:r>
    </w:p>
    <w:p w14:paraId="55A443E5" w14:textId="77777777" w:rsidR="00D30923" w:rsidRPr="00971952" w:rsidRDefault="00D30923" w:rsidP="00D30923">
      <w:pPr>
        <w:spacing w:after="0"/>
        <w:jc w:val="center"/>
        <w:rPr>
          <w:b/>
          <w:bCs/>
          <w:sz w:val="26"/>
          <w:szCs w:val="26"/>
        </w:rPr>
      </w:pPr>
      <w:r w:rsidRPr="0092723F">
        <w:rPr>
          <w:b/>
          <w:bCs/>
          <w:noProof/>
          <w:sz w:val="26"/>
          <w:szCs w:val="26"/>
        </w:rPr>
        <w:t>Microwave resonator characterization for quantum devices: Al and Cu cavities</w:t>
      </w:r>
    </w:p>
    <w:p w14:paraId="19CD9477" w14:textId="77777777" w:rsidR="00D30923" w:rsidRDefault="00D30923" w:rsidP="00D30923">
      <w:pPr>
        <w:spacing w:after="0" w:line="240" w:lineRule="auto"/>
        <w:jc w:val="center"/>
      </w:pPr>
      <w:r>
        <w:rPr>
          <w:noProof/>
        </w:rPr>
        <w:t>Jalia Borden*, Elijah Taylor, Bianca Robinson, and John T. Yi</w:t>
      </w:r>
    </w:p>
    <w:p w14:paraId="7EC55EC3" w14:textId="77777777" w:rsidR="00D30923" w:rsidRDefault="00D30923" w:rsidP="00D30923">
      <w:pPr>
        <w:spacing w:after="0" w:line="240" w:lineRule="auto"/>
        <w:jc w:val="center"/>
      </w:pPr>
      <w:r>
        <w:rPr>
          <w:noProof/>
        </w:rPr>
        <w:t>Winston-Salem State University</w:t>
      </w:r>
    </w:p>
    <w:p w14:paraId="74D14E41" w14:textId="77777777" w:rsidR="00D30923" w:rsidRDefault="00D30923" w:rsidP="00D30923">
      <w:pPr>
        <w:spacing w:after="0" w:line="240" w:lineRule="auto"/>
        <w:jc w:val="center"/>
      </w:pPr>
    </w:p>
    <w:p w14:paraId="1CB417B7" w14:textId="77777777" w:rsidR="00D30923" w:rsidRDefault="00D30923" w:rsidP="00D30923">
      <w:pPr>
        <w:spacing w:after="0" w:line="240" w:lineRule="auto"/>
        <w:rPr>
          <w:noProof/>
        </w:rPr>
      </w:pPr>
      <w:r>
        <w:rPr>
          <w:noProof/>
        </w:rPr>
        <w:t>This work presents an experimental investigation of microwave cavity resonators fabricated from aluminum (Al) and copper (Cu), focusing on the characterization of the fundamental transverse electric mode, TEM101, under room temperature (~300 K) and cryogenic (77 K) conditions. These resonators are essential components in quantum systems, including superconducting qubits and circuit quantum electrodynamics (cQED) architectures.</w:t>
      </w:r>
    </w:p>
    <w:p w14:paraId="43FE83F3" w14:textId="77777777" w:rsidR="00D30923" w:rsidRDefault="00D30923" w:rsidP="00D30923">
      <w:pPr>
        <w:spacing w:after="0" w:line="240" w:lineRule="auto"/>
        <w:rPr>
          <w:noProof/>
        </w:rPr>
      </w:pPr>
      <w:r>
        <w:rPr>
          <w:noProof/>
        </w:rPr>
        <w:t>Measurements were conducted using a vector network analyzer (VNA) to obtain transmission (S21) spectra, with a signal generator and oscilloscope used for calibration and signal verification. Resonance frequencies and loaded quality factors (Q) were extracted via Lorentzian fitting of the TEM101 mode. At room temperature, both Cu and Al cavities exhibited resonance frequencies in the range of ~7.7–7.8 GHz, consistent with cavity geometry and boundary conditions. Upon cooling to 77 K, a slight upward frequency shift was observed, attributed to thermal contraction and changes in material properties. A significant enhancement in quality factor was observed at cryogenic temperature. The copper cavity exhibited an increase in Q from approximately 10^3 at room temperature to several 10^3 at 77 K. The aluminum cavity showed a more pronounced improvement, with Q increasing from the 10^3 arrange to above 10^4 at 77 K. These results are consistent with reduced surface resistance and diminished conductive losses at lower temperatures.</w:t>
      </w:r>
    </w:p>
    <w:p w14:paraId="1618CB29" w14:textId="77777777" w:rsidR="00D30923" w:rsidRDefault="00D30923" w:rsidP="00D30923">
      <w:pPr>
        <w:spacing w:after="0" w:line="240" w:lineRule="auto"/>
      </w:pPr>
      <w:r>
        <w:rPr>
          <w:noProof/>
        </w:rPr>
        <w:t>Future work will focus on superconducting niobium (Nb) coplanar waveguide (CPW) resonators, with measurements in a 20 mK dilution refrigerator at Winston-Salem Hybrid Quantum Laboratory (WHQL) to investigate intrinsic loss mechanisms and time-domain coherence properties relevant to quantum information science and engineering (QISE).</w:t>
      </w:r>
    </w:p>
    <w:p w14:paraId="50369B1E" w14:textId="77777777" w:rsidR="00D30923" w:rsidRDefault="00D30923" w:rsidP="00D30923">
      <w:pPr>
        <w:spacing w:after="0" w:line="240" w:lineRule="auto"/>
      </w:pPr>
    </w:p>
    <w:p w14:paraId="010B5DC3" w14:textId="77777777" w:rsidR="00E044D8" w:rsidRPr="00B051AC" w:rsidRDefault="00E044D8" w:rsidP="00E044D8">
      <w:pPr>
        <w:jc w:val="center"/>
        <w:rPr>
          <w:rFonts w:ascii="Calibri" w:hAnsi="Calibri" w:cs="Calibri"/>
          <w:b/>
          <w:bCs/>
          <w:color w:val="000000"/>
          <w:kern w:val="0"/>
          <w:sz w:val="22"/>
          <w:szCs w:val="22"/>
        </w:rPr>
      </w:pPr>
      <w:hyperlink w:anchor="TableofContents" w:history="1">
        <w:r w:rsidRPr="00B051AC">
          <w:rPr>
            <w:rStyle w:val="Hyperlink"/>
            <w:rFonts w:ascii="Calibri" w:hAnsi="Calibri" w:cs="Calibri"/>
            <w:b/>
            <w:bCs/>
            <w:kern w:val="0"/>
            <w:sz w:val="22"/>
            <w:szCs w:val="22"/>
          </w:rPr>
          <w:t>Return to Table of Contents</w:t>
        </w:r>
      </w:hyperlink>
    </w:p>
    <w:p w14:paraId="59E9A2B7" w14:textId="77777777" w:rsidR="00D30923" w:rsidRDefault="00D30923" w:rsidP="00D30923">
      <w:pPr>
        <w:spacing w:after="0" w:line="240" w:lineRule="auto"/>
        <w:jc w:val="center"/>
      </w:pPr>
    </w:p>
    <w:p w14:paraId="39A00F5F" w14:textId="77777777" w:rsidR="00FE0672" w:rsidRDefault="00FE0672" w:rsidP="00835B71">
      <w:pPr>
        <w:spacing w:after="0" w:line="240" w:lineRule="auto"/>
        <w:contextualSpacing/>
        <w:rPr>
          <w:rFonts w:ascii="Calibri" w:hAnsi="Calibri" w:cs="Calibri"/>
        </w:rPr>
      </w:pPr>
    </w:p>
    <w:p w14:paraId="10C697F8" w14:textId="77777777" w:rsidR="00FE0672" w:rsidRDefault="00FE0672" w:rsidP="00835B71">
      <w:pPr>
        <w:spacing w:after="0" w:line="240" w:lineRule="auto"/>
        <w:contextualSpacing/>
        <w:rPr>
          <w:rFonts w:ascii="Calibri" w:hAnsi="Calibri" w:cs="Calibri"/>
        </w:rPr>
      </w:pPr>
    </w:p>
    <w:p w14:paraId="57B190F9" w14:textId="77777777" w:rsidR="00FE0672" w:rsidRDefault="00FE0672" w:rsidP="00835B71">
      <w:pPr>
        <w:spacing w:after="0" w:line="240" w:lineRule="auto"/>
        <w:contextualSpacing/>
        <w:rPr>
          <w:rFonts w:ascii="Calibri" w:hAnsi="Calibri" w:cs="Calibri"/>
        </w:rPr>
      </w:pPr>
    </w:p>
    <w:p w14:paraId="53CB3ECD" w14:textId="77777777" w:rsidR="00FE0672" w:rsidRDefault="00FE0672" w:rsidP="00835B71">
      <w:pPr>
        <w:spacing w:after="0" w:line="240" w:lineRule="auto"/>
        <w:contextualSpacing/>
        <w:rPr>
          <w:rFonts w:ascii="Calibri" w:hAnsi="Calibri" w:cs="Calibri"/>
        </w:rPr>
      </w:pPr>
    </w:p>
    <w:p w14:paraId="0D0C0E8E" w14:textId="77777777" w:rsidR="00FE0672" w:rsidRDefault="00FE0672" w:rsidP="00835B71">
      <w:pPr>
        <w:spacing w:after="0" w:line="240" w:lineRule="auto"/>
        <w:contextualSpacing/>
        <w:rPr>
          <w:rFonts w:ascii="Calibri" w:hAnsi="Calibri" w:cs="Calibri"/>
        </w:rPr>
      </w:pPr>
    </w:p>
    <w:p w14:paraId="17E3CB15" w14:textId="3F08D3C5" w:rsidR="00FE0672" w:rsidRDefault="00FE0672" w:rsidP="00835B71">
      <w:pPr>
        <w:spacing w:after="0" w:line="240" w:lineRule="auto"/>
        <w:contextualSpacing/>
        <w:rPr>
          <w:rFonts w:ascii="Calibri" w:hAnsi="Calibri" w:cs="Calibri"/>
        </w:rPr>
      </w:pPr>
    </w:p>
    <w:p w14:paraId="2B73D36C" w14:textId="77777777" w:rsidR="00024D0F" w:rsidRDefault="00024D0F" w:rsidP="0034692C">
      <w:pPr>
        <w:spacing w:after="0" w:line="240" w:lineRule="auto"/>
        <w:contextualSpacing/>
        <w:rPr>
          <w:sz w:val="28"/>
          <w:szCs w:val="28"/>
        </w:rPr>
      </w:pPr>
    </w:p>
    <w:p w14:paraId="584C2638" w14:textId="77777777" w:rsidR="000F6F8C" w:rsidRDefault="000F6F8C" w:rsidP="0034692C">
      <w:pPr>
        <w:spacing w:after="0" w:line="240" w:lineRule="auto"/>
        <w:contextualSpacing/>
        <w:rPr>
          <w:sz w:val="28"/>
          <w:szCs w:val="28"/>
        </w:rPr>
      </w:pPr>
    </w:p>
    <w:p w14:paraId="7ED458DF" w14:textId="414CFB7C" w:rsidR="000F6F8C" w:rsidRDefault="000F6F8C" w:rsidP="003260D2">
      <w:pPr>
        <w:spacing w:after="0" w:line="240" w:lineRule="auto"/>
        <w:contextualSpacing/>
        <w:jc w:val="center"/>
        <w:rPr>
          <w:sz w:val="28"/>
          <w:szCs w:val="28"/>
        </w:rPr>
      </w:pPr>
      <w:r>
        <w:rPr>
          <w:noProof/>
        </w:rPr>
        <w:lastRenderedPageBreak/>
        <w:drawing>
          <wp:inline distT="0" distB="0" distL="0" distR="0" wp14:anchorId="41589D23" wp14:editId="7F91206D">
            <wp:extent cx="4248150" cy="4248150"/>
            <wp:effectExtent l="0" t="0" r="0" b="0"/>
            <wp:docPr id="179580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3382" name=""/>
                    <pic:cNvPicPr/>
                  </pic:nvPicPr>
                  <pic:blipFill>
                    <a:blip r:embed="rId28"/>
                    <a:stretch>
                      <a:fillRect/>
                    </a:stretch>
                  </pic:blipFill>
                  <pic:spPr>
                    <a:xfrm>
                      <a:off x="0" y="0"/>
                      <a:ext cx="4248150" cy="4248150"/>
                    </a:xfrm>
                    <a:prstGeom prst="rect">
                      <a:avLst/>
                    </a:prstGeom>
                  </pic:spPr>
                </pic:pic>
              </a:graphicData>
            </a:graphic>
          </wp:inline>
        </w:drawing>
      </w:r>
    </w:p>
    <w:p w14:paraId="7EE3DD7E" w14:textId="139FA090" w:rsidR="00501EC3" w:rsidRDefault="00501EC3" w:rsidP="00E6084C">
      <w:pPr>
        <w:spacing w:after="0" w:line="240" w:lineRule="auto"/>
        <w:contextualSpacing/>
        <w:jc w:val="center"/>
        <w:rPr>
          <w:sz w:val="28"/>
          <w:szCs w:val="28"/>
        </w:rPr>
      </w:pPr>
      <w:r>
        <w:rPr>
          <w:noProof/>
        </w:rPr>
        <w:drawing>
          <wp:inline distT="0" distB="0" distL="0" distR="0" wp14:anchorId="6DDF79EB" wp14:editId="1A2B9569">
            <wp:extent cx="5943600" cy="451485"/>
            <wp:effectExtent l="0" t="0" r="0" b="5715"/>
            <wp:docPr id="35609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94958" name=""/>
                    <pic:cNvPicPr/>
                  </pic:nvPicPr>
                  <pic:blipFill>
                    <a:blip r:embed="rId29"/>
                    <a:stretch>
                      <a:fillRect/>
                    </a:stretch>
                  </pic:blipFill>
                  <pic:spPr>
                    <a:xfrm>
                      <a:off x="0" y="0"/>
                      <a:ext cx="5943600" cy="451485"/>
                    </a:xfrm>
                    <a:prstGeom prst="rect">
                      <a:avLst/>
                    </a:prstGeom>
                  </pic:spPr>
                </pic:pic>
              </a:graphicData>
            </a:graphic>
          </wp:inline>
        </w:drawing>
      </w:r>
    </w:p>
    <w:p w14:paraId="3F3E87BC" w14:textId="38D2C2B7" w:rsidR="007D4DC9" w:rsidRDefault="007D4DC9" w:rsidP="007D4DC9">
      <w:pPr>
        <w:spacing w:after="0" w:line="240" w:lineRule="auto"/>
        <w:contextualSpacing/>
        <w:jc w:val="center"/>
        <w:rPr>
          <w:sz w:val="28"/>
          <w:szCs w:val="28"/>
        </w:rPr>
      </w:pPr>
      <w:r>
        <w:rPr>
          <w:noProof/>
        </w:rPr>
        <w:drawing>
          <wp:inline distT="0" distB="0" distL="0" distR="0" wp14:anchorId="42037884" wp14:editId="2CD01AD7">
            <wp:extent cx="1732208" cy="1213129"/>
            <wp:effectExtent l="0" t="0" r="1905" b="6350"/>
            <wp:docPr id="163144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6786" name=""/>
                    <pic:cNvPicPr/>
                  </pic:nvPicPr>
                  <pic:blipFill>
                    <a:blip r:embed="rId30"/>
                    <a:stretch>
                      <a:fillRect/>
                    </a:stretch>
                  </pic:blipFill>
                  <pic:spPr>
                    <a:xfrm>
                      <a:off x="0" y="0"/>
                      <a:ext cx="1754358" cy="1228642"/>
                    </a:xfrm>
                    <a:prstGeom prst="rect">
                      <a:avLst/>
                    </a:prstGeom>
                  </pic:spPr>
                </pic:pic>
              </a:graphicData>
            </a:graphic>
          </wp:inline>
        </w:drawing>
      </w:r>
    </w:p>
    <w:p w14:paraId="1C860788" w14:textId="77777777" w:rsidR="007D4DC9" w:rsidRDefault="007D4DC9" w:rsidP="0034692C">
      <w:pPr>
        <w:spacing w:after="0" w:line="240" w:lineRule="auto"/>
        <w:contextualSpacing/>
        <w:rPr>
          <w:sz w:val="28"/>
          <w:szCs w:val="28"/>
        </w:rPr>
      </w:pPr>
    </w:p>
    <w:p w14:paraId="6865CB63" w14:textId="0884AE0A" w:rsidR="00E6084C" w:rsidRDefault="007D4DC9" w:rsidP="007D4DC9">
      <w:pPr>
        <w:spacing w:after="0" w:line="240" w:lineRule="auto"/>
        <w:contextualSpacing/>
        <w:jc w:val="center"/>
        <w:rPr>
          <w:sz w:val="28"/>
          <w:szCs w:val="28"/>
        </w:rPr>
      </w:pPr>
      <w:r>
        <w:rPr>
          <w:noProof/>
        </w:rPr>
        <w:drawing>
          <wp:inline distT="0" distB="0" distL="0" distR="0" wp14:anchorId="23A1423D" wp14:editId="47BF24ED">
            <wp:extent cx="2275755" cy="1062646"/>
            <wp:effectExtent l="0" t="0" r="0" b="4445"/>
            <wp:docPr id="826834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34505" name=""/>
                    <pic:cNvPicPr/>
                  </pic:nvPicPr>
                  <pic:blipFill>
                    <a:blip r:embed="rId31"/>
                    <a:stretch>
                      <a:fillRect/>
                    </a:stretch>
                  </pic:blipFill>
                  <pic:spPr>
                    <a:xfrm>
                      <a:off x="0" y="0"/>
                      <a:ext cx="2312624" cy="1079862"/>
                    </a:xfrm>
                    <a:prstGeom prst="rect">
                      <a:avLst/>
                    </a:prstGeom>
                  </pic:spPr>
                </pic:pic>
              </a:graphicData>
            </a:graphic>
          </wp:inline>
        </w:drawing>
      </w:r>
    </w:p>
    <w:p w14:paraId="20CCA77A" w14:textId="0EA22179" w:rsidR="00D6035F" w:rsidRPr="003260D2" w:rsidRDefault="00116F2C" w:rsidP="007D4DC9">
      <w:pPr>
        <w:spacing w:after="0" w:line="240" w:lineRule="auto"/>
        <w:contextualSpacing/>
        <w:jc w:val="center"/>
        <w:rPr>
          <w:color w:val="BF4E14" w:themeColor="accent2" w:themeShade="BF"/>
          <w:sz w:val="28"/>
          <w:szCs w:val="28"/>
        </w:rPr>
      </w:pPr>
      <w:r w:rsidRPr="003260D2">
        <w:rPr>
          <w:color w:val="BF4E14" w:themeColor="accent2" w:themeShade="BF"/>
          <w:sz w:val="28"/>
          <w:szCs w:val="28"/>
        </w:rPr>
        <w:t xml:space="preserve">Interdisciplinary </w:t>
      </w:r>
      <w:r w:rsidR="005768B7" w:rsidRPr="003260D2">
        <w:rPr>
          <w:color w:val="BF4E14" w:themeColor="accent2" w:themeShade="BF"/>
          <w:sz w:val="28"/>
          <w:szCs w:val="28"/>
        </w:rPr>
        <w:t>Biochemistry Masters Program</w:t>
      </w:r>
    </w:p>
    <w:p w14:paraId="041D29F0" w14:textId="77777777" w:rsidR="007D4DC9" w:rsidRPr="00835B71" w:rsidRDefault="007D4DC9" w:rsidP="007D4DC9">
      <w:pPr>
        <w:spacing w:after="0" w:line="240" w:lineRule="auto"/>
        <w:contextualSpacing/>
        <w:jc w:val="center"/>
        <w:rPr>
          <w:sz w:val="28"/>
          <w:szCs w:val="28"/>
        </w:rPr>
      </w:pPr>
    </w:p>
    <w:sectPr w:rsidR="007D4DC9" w:rsidRPr="00835B71" w:rsidSect="001666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6FB29" w14:textId="77777777" w:rsidR="00812987" w:rsidRDefault="00812987" w:rsidP="004F703F">
      <w:pPr>
        <w:spacing w:after="0" w:line="240" w:lineRule="auto"/>
      </w:pPr>
      <w:r>
        <w:separator/>
      </w:r>
    </w:p>
  </w:endnote>
  <w:endnote w:type="continuationSeparator" w:id="0">
    <w:p w14:paraId="0996B96E" w14:textId="77777777" w:rsidR="00812987" w:rsidRDefault="00812987" w:rsidP="004F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A6BE8" w14:textId="77777777" w:rsidR="00812987" w:rsidRDefault="00812987" w:rsidP="004F703F">
      <w:pPr>
        <w:spacing w:after="0" w:line="240" w:lineRule="auto"/>
      </w:pPr>
      <w:r>
        <w:separator/>
      </w:r>
    </w:p>
  </w:footnote>
  <w:footnote w:type="continuationSeparator" w:id="0">
    <w:p w14:paraId="680E9350" w14:textId="77777777" w:rsidR="00812987" w:rsidRDefault="00812987" w:rsidP="004F7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A26"/>
    <w:rsid w:val="00011192"/>
    <w:rsid w:val="00024D0F"/>
    <w:rsid w:val="00027E5A"/>
    <w:rsid w:val="00040B0F"/>
    <w:rsid w:val="00053ABA"/>
    <w:rsid w:val="000553AB"/>
    <w:rsid w:val="00065631"/>
    <w:rsid w:val="000674C2"/>
    <w:rsid w:val="00084B27"/>
    <w:rsid w:val="000A3548"/>
    <w:rsid w:val="000B43AC"/>
    <w:rsid w:val="000B7939"/>
    <w:rsid w:val="000C7FF7"/>
    <w:rsid w:val="000D23B9"/>
    <w:rsid w:val="000D652C"/>
    <w:rsid w:val="000E48E7"/>
    <w:rsid w:val="000F3745"/>
    <w:rsid w:val="000F439B"/>
    <w:rsid w:val="000F6F8C"/>
    <w:rsid w:val="00102099"/>
    <w:rsid w:val="00104B88"/>
    <w:rsid w:val="00107456"/>
    <w:rsid w:val="001119E0"/>
    <w:rsid w:val="00113275"/>
    <w:rsid w:val="00113396"/>
    <w:rsid w:val="00113A9D"/>
    <w:rsid w:val="001166E7"/>
    <w:rsid w:val="00116F2C"/>
    <w:rsid w:val="00117B93"/>
    <w:rsid w:val="0012322D"/>
    <w:rsid w:val="00131FFB"/>
    <w:rsid w:val="00135497"/>
    <w:rsid w:val="00141804"/>
    <w:rsid w:val="001448C2"/>
    <w:rsid w:val="0015228D"/>
    <w:rsid w:val="0015561C"/>
    <w:rsid w:val="001657B6"/>
    <w:rsid w:val="0016668A"/>
    <w:rsid w:val="001719C2"/>
    <w:rsid w:val="00173E00"/>
    <w:rsid w:val="001756D7"/>
    <w:rsid w:val="001757EC"/>
    <w:rsid w:val="00191B07"/>
    <w:rsid w:val="0019662A"/>
    <w:rsid w:val="00196DFC"/>
    <w:rsid w:val="00197331"/>
    <w:rsid w:val="001A5550"/>
    <w:rsid w:val="001A5A42"/>
    <w:rsid w:val="001B2407"/>
    <w:rsid w:val="001C11EB"/>
    <w:rsid w:val="001C153B"/>
    <w:rsid w:val="001C5D98"/>
    <w:rsid w:val="001D32BB"/>
    <w:rsid w:val="001D4FF4"/>
    <w:rsid w:val="001E2859"/>
    <w:rsid w:val="001E7916"/>
    <w:rsid w:val="00201665"/>
    <w:rsid w:val="00206C31"/>
    <w:rsid w:val="002114D5"/>
    <w:rsid w:val="00211B9C"/>
    <w:rsid w:val="002139C0"/>
    <w:rsid w:val="002160BB"/>
    <w:rsid w:val="002166EA"/>
    <w:rsid w:val="00224A7B"/>
    <w:rsid w:val="0022580A"/>
    <w:rsid w:val="00232791"/>
    <w:rsid w:val="00243D2F"/>
    <w:rsid w:val="00247074"/>
    <w:rsid w:val="00253798"/>
    <w:rsid w:val="00253CA9"/>
    <w:rsid w:val="00254401"/>
    <w:rsid w:val="0025560A"/>
    <w:rsid w:val="00267562"/>
    <w:rsid w:val="00271D9B"/>
    <w:rsid w:val="00273964"/>
    <w:rsid w:val="002767B6"/>
    <w:rsid w:val="00276DC8"/>
    <w:rsid w:val="00281245"/>
    <w:rsid w:val="00284881"/>
    <w:rsid w:val="00285D93"/>
    <w:rsid w:val="00292558"/>
    <w:rsid w:val="00295640"/>
    <w:rsid w:val="002D3487"/>
    <w:rsid w:val="002D3C0F"/>
    <w:rsid w:val="002F0C8A"/>
    <w:rsid w:val="002F1715"/>
    <w:rsid w:val="002F4101"/>
    <w:rsid w:val="002F5BD3"/>
    <w:rsid w:val="002F5DE8"/>
    <w:rsid w:val="002F6F19"/>
    <w:rsid w:val="003038D3"/>
    <w:rsid w:val="003053ED"/>
    <w:rsid w:val="00305F2F"/>
    <w:rsid w:val="0031323C"/>
    <w:rsid w:val="003260D2"/>
    <w:rsid w:val="003263B2"/>
    <w:rsid w:val="003267D6"/>
    <w:rsid w:val="00331299"/>
    <w:rsid w:val="00332D89"/>
    <w:rsid w:val="00337FAB"/>
    <w:rsid w:val="00345111"/>
    <w:rsid w:val="003462E5"/>
    <w:rsid w:val="0034692C"/>
    <w:rsid w:val="00353CEB"/>
    <w:rsid w:val="00355760"/>
    <w:rsid w:val="00356294"/>
    <w:rsid w:val="00356D14"/>
    <w:rsid w:val="00361222"/>
    <w:rsid w:val="00363A58"/>
    <w:rsid w:val="003657FB"/>
    <w:rsid w:val="003660F9"/>
    <w:rsid w:val="003701A9"/>
    <w:rsid w:val="003754F2"/>
    <w:rsid w:val="00383CE6"/>
    <w:rsid w:val="00390C3C"/>
    <w:rsid w:val="00395436"/>
    <w:rsid w:val="00395DDE"/>
    <w:rsid w:val="003A4E8C"/>
    <w:rsid w:val="003B216A"/>
    <w:rsid w:val="003B41E8"/>
    <w:rsid w:val="003D30C1"/>
    <w:rsid w:val="003E09EA"/>
    <w:rsid w:val="003E2BED"/>
    <w:rsid w:val="003E56F9"/>
    <w:rsid w:val="003F4255"/>
    <w:rsid w:val="00402722"/>
    <w:rsid w:val="0040378D"/>
    <w:rsid w:val="00405EF1"/>
    <w:rsid w:val="0040792F"/>
    <w:rsid w:val="00426A0A"/>
    <w:rsid w:val="00426D7B"/>
    <w:rsid w:val="00437AED"/>
    <w:rsid w:val="00441629"/>
    <w:rsid w:val="00441AA4"/>
    <w:rsid w:val="00450B8B"/>
    <w:rsid w:val="00460B35"/>
    <w:rsid w:val="0046372A"/>
    <w:rsid w:val="00472759"/>
    <w:rsid w:val="004817C9"/>
    <w:rsid w:val="00492D24"/>
    <w:rsid w:val="00497225"/>
    <w:rsid w:val="004A48C1"/>
    <w:rsid w:val="004A5083"/>
    <w:rsid w:val="004C166D"/>
    <w:rsid w:val="004C3183"/>
    <w:rsid w:val="004C5065"/>
    <w:rsid w:val="004C65AA"/>
    <w:rsid w:val="004D2B49"/>
    <w:rsid w:val="004D4488"/>
    <w:rsid w:val="004E5843"/>
    <w:rsid w:val="004E64B8"/>
    <w:rsid w:val="004F00BB"/>
    <w:rsid w:val="004F1645"/>
    <w:rsid w:val="004F703F"/>
    <w:rsid w:val="00501EC3"/>
    <w:rsid w:val="005148D4"/>
    <w:rsid w:val="0051491B"/>
    <w:rsid w:val="00516FB6"/>
    <w:rsid w:val="00546016"/>
    <w:rsid w:val="005516FE"/>
    <w:rsid w:val="005601A6"/>
    <w:rsid w:val="0056023E"/>
    <w:rsid w:val="0056137F"/>
    <w:rsid w:val="00561843"/>
    <w:rsid w:val="00565765"/>
    <w:rsid w:val="005713FF"/>
    <w:rsid w:val="00572496"/>
    <w:rsid w:val="00573429"/>
    <w:rsid w:val="00573B48"/>
    <w:rsid w:val="005768B7"/>
    <w:rsid w:val="0057795D"/>
    <w:rsid w:val="005804A8"/>
    <w:rsid w:val="00582D97"/>
    <w:rsid w:val="00591F1C"/>
    <w:rsid w:val="005A4A18"/>
    <w:rsid w:val="005B129F"/>
    <w:rsid w:val="005D2601"/>
    <w:rsid w:val="005F3B6F"/>
    <w:rsid w:val="00607B8B"/>
    <w:rsid w:val="006301F5"/>
    <w:rsid w:val="00640BE1"/>
    <w:rsid w:val="00642368"/>
    <w:rsid w:val="00642A26"/>
    <w:rsid w:val="006451C2"/>
    <w:rsid w:val="00646BEA"/>
    <w:rsid w:val="0065525B"/>
    <w:rsid w:val="00657071"/>
    <w:rsid w:val="006605E6"/>
    <w:rsid w:val="00663C86"/>
    <w:rsid w:val="00670E98"/>
    <w:rsid w:val="00673C0C"/>
    <w:rsid w:val="00677181"/>
    <w:rsid w:val="00683C84"/>
    <w:rsid w:val="00696D3F"/>
    <w:rsid w:val="006A3E28"/>
    <w:rsid w:val="006B6C23"/>
    <w:rsid w:val="006B6C4C"/>
    <w:rsid w:val="006B6F01"/>
    <w:rsid w:val="006C1972"/>
    <w:rsid w:val="006D080E"/>
    <w:rsid w:val="006D4BBD"/>
    <w:rsid w:val="006D728E"/>
    <w:rsid w:val="006E396C"/>
    <w:rsid w:val="006F1F67"/>
    <w:rsid w:val="00715F51"/>
    <w:rsid w:val="007207E9"/>
    <w:rsid w:val="007223C9"/>
    <w:rsid w:val="00725FFA"/>
    <w:rsid w:val="00731EC6"/>
    <w:rsid w:val="0074244C"/>
    <w:rsid w:val="0074567B"/>
    <w:rsid w:val="00747501"/>
    <w:rsid w:val="00747EF0"/>
    <w:rsid w:val="007505FA"/>
    <w:rsid w:val="00774642"/>
    <w:rsid w:val="007750A1"/>
    <w:rsid w:val="0077587F"/>
    <w:rsid w:val="00776327"/>
    <w:rsid w:val="00780734"/>
    <w:rsid w:val="00783DB1"/>
    <w:rsid w:val="00786CEF"/>
    <w:rsid w:val="00794D6A"/>
    <w:rsid w:val="007A2AD1"/>
    <w:rsid w:val="007A5BD0"/>
    <w:rsid w:val="007B39B7"/>
    <w:rsid w:val="007B700B"/>
    <w:rsid w:val="007C0E26"/>
    <w:rsid w:val="007C2FB4"/>
    <w:rsid w:val="007C7241"/>
    <w:rsid w:val="007D2312"/>
    <w:rsid w:val="007D4DC9"/>
    <w:rsid w:val="007E11F3"/>
    <w:rsid w:val="007E13BB"/>
    <w:rsid w:val="007E4A76"/>
    <w:rsid w:val="007F1968"/>
    <w:rsid w:val="007F4A6C"/>
    <w:rsid w:val="00806AF1"/>
    <w:rsid w:val="00812987"/>
    <w:rsid w:val="008149BC"/>
    <w:rsid w:val="008159AC"/>
    <w:rsid w:val="008170AA"/>
    <w:rsid w:val="00817557"/>
    <w:rsid w:val="00817F8E"/>
    <w:rsid w:val="00832132"/>
    <w:rsid w:val="00834AC6"/>
    <w:rsid w:val="00835491"/>
    <w:rsid w:val="008358A3"/>
    <w:rsid w:val="00835B71"/>
    <w:rsid w:val="00837D49"/>
    <w:rsid w:val="00842F7D"/>
    <w:rsid w:val="00852D64"/>
    <w:rsid w:val="0085368E"/>
    <w:rsid w:val="00856299"/>
    <w:rsid w:val="00860A33"/>
    <w:rsid w:val="008705AF"/>
    <w:rsid w:val="008800CD"/>
    <w:rsid w:val="0088076D"/>
    <w:rsid w:val="00887779"/>
    <w:rsid w:val="00890FA4"/>
    <w:rsid w:val="00890FB8"/>
    <w:rsid w:val="008923B0"/>
    <w:rsid w:val="00892C44"/>
    <w:rsid w:val="008A2ABD"/>
    <w:rsid w:val="008A414B"/>
    <w:rsid w:val="008A5AA7"/>
    <w:rsid w:val="008B076F"/>
    <w:rsid w:val="008B49EC"/>
    <w:rsid w:val="008B7810"/>
    <w:rsid w:val="008C0965"/>
    <w:rsid w:val="008C15A8"/>
    <w:rsid w:val="008C5F35"/>
    <w:rsid w:val="008C72CD"/>
    <w:rsid w:val="008D3243"/>
    <w:rsid w:val="008D7125"/>
    <w:rsid w:val="008E3FF1"/>
    <w:rsid w:val="008E499F"/>
    <w:rsid w:val="008F07A0"/>
    <w:rsid w:val="008F6848"/>
    <w:rsid w:val="00902EAD"/>
    <w:rsid w:val="009036BE"/>
    <w:rsid w:val="009037F7"/>
    <w:rsid w:val="009242BC"/>
    <w:rsid w:val="00924C45"/>
    <w:rsid w:val="00927BB7"/>
    <w:rsid w:val="00944574"/>
    <w:rsid w:val="00946215"/>
    <w:rsid w:val="009614F8"/>
    <w:rsid w:val="0096687D"/>
    <w:rsid w:val="00980E96"/>
    <w:rsid w:val="00982314"/>
    <w:rsid w:val="00994465"/>
    <w:rsid w:val="0099530D"/>
    <w:rsid w:val="009972D2"/>
    <w:rsid w:val="009A22C1"/>
    <w:rsid w:val="009A7B94"/>
    <w:rsid w:val="009B101A"/>
    <w:rsid w:val="009C23EC"/>
    <w:rsid w:val="009C47CC"/>
    <w:rsid w:val="009D5002"/>
    <w:rsid w:val="009D5199"/>
    <w:rsid w:val="009E2AB6"/>
    <w:rsid w:val="009E717D"/>
    <w:rsid w:val="00A0326A"/>
    <w:rsid w:val="00A1172B"/>
    <w:rsid w:val="00A241A0"/>
    <w:rsid w:val="00A356DA"/>
    <w:rsid w:val="00A37998"/>
    <w:rsid w:val="00A454A8"/>
    <w:rsid w:val="00A7217D"/>
    <w:rsid w:val="00A73A21"/>
    <w:rsid w:val="00A76F24"/>
    <w:rsid w:val="00A80E99"/>
    <w:rsid w:val="00A827BC"/>
    <w:rsid w:val="00A854C6"/>
    <w:rsid w:val="00A85EDB"/>
    <w:rsid w:val="00A86745"/>
    <w:rsid w:val="00A90984"/>
    <w:rsid w:val="00A96D93"/>
    <w:rsid w:val="00AA172E"/>
    <w:rsid w:val="00AA3509"/>
    <w:rsid w:val="00AA4444"/>
    <w:rsid w:val="00AA7D01"/>
    <w:rsid w:val="00AA7F06"/>
    <w:rsid w:val="00AB41B6"/>
    <w:rsid w:val="00AC1198"/>
    <w:rsid w:val="00AC28C6"/>
    <w:rsid w:val="00AE3830"/>
    <w:rsid w:val="00AE73D9"/>
    <w:rsid w:val="00AF284E"/>
    <w:rsid w:val="00AF5849"/>
    <w:rsid w:val="00B01EDF"/>
    <w:rsid w:val="00B051AC"/>
    <w:rsid w:val="00B06AE0"/>
    <w:rsid w:val="00B15105"/>
    <w:rsid w:val="00B1777F"/>
    <w:rsid w:val="00B25CFE"/>
    <w:rsid w:val="00B2630A"/>
    <w:rsid w:val="00B30356"/>
    <w:rsid w:val="00B4081A"/>
    <w:rsid w:val="00B40C3B"/>
    <w:rsid w:val="00B40F99"/>
    <w:rsid w:val="00B445FD"/>
    <w:rsid w:val="00B536C8"/>
    <w:rsid w:val="00B57EAA"/>
    <w:rsid w:val="00B67969"/>
    <w:rsid w:val="00B7006F"/>
    <w:rsid w:val="00B7499E"/>
    <w:rsid w:val="00B7623D"/>
    <w:rsid w:val="00B773FE"/>
    <w:rsid w:val="00B77465"/>
    <w:rsid w:val="00B91075"/>
    <w:rsid w:val="00BA375E"/>
    <w:rsid w:val="00BA647F"/>
    <w:rsid w:val="00BB05BD"/>
    <w:rsid w:val="00BB2FFF"/>
    <w:rsid w:val="00BC2BB8"/>
    <w:rsid w:val="00BC555C"/>
    <w:rsid w:val="00BC6DF8"/>
    <w:rsid w:val="00BE699E"/>
    <w:rsid w:val="00BE7534"/>
    <w:rsid w:val="00BF11A6"/>
    <w:rsid w:val="00C02BCA"/>
    <w:rsid w:val="00C05272"/>
    <w:rsid w:val="00C061CB"/>
    <w:rsid w:val="00C06593"/>
    <w:rsid w:val="00C12873"/>
    <w:rsid w:val="00C13D2E"/>
    <w:rsid w:val="00C35C91"/>
    <w:rsid w:val="00C37CCE"/>
    <w:rsid w:val="00C52320"/>
    <w:rsid w:val="00C5392E"/>
    <w:rsid w:val="00C54B04"/>
    <w:rsid w:val="00C56D02"/>
    <w:rsid w:val="00C57C84"/>
    <w:rsid w:val="00C6364B"/>
    <w:rsid w:val="00C638E2"/>
    <w:rsid w:val="00C86D78"/>
    <w:rsid w:val="00CA2E3A"/>
    <w:rsid w:val="00CB05AB"/>
    <w:rsid w:val="00CB0D31"/>
    <w:rsid w:val="00CC4022"/>
    <w:rsid w:val="00CC554C"/>
    <w:rsid w:val="00CD2DBB"/>
    <w:rsid w:val="00CD6B3E"/>
    <w:rsid w:val="00CD76C4"/>
    <w:rsid w:val="00CE1B09"/>
    <w:rsid w:val="00CF4B40"/>
    <w:rsid w:val="00D00E7F"/>
    <w:rsid w:val="00D0984C"/>
    <w:rsid w:val="00D15A40"/>
    <w:rsid w:val="00D303AC"/>
    <w:rsid w:val="00D30923"/>
    <w:rsid w:val="00D32822"/>
    <w:rsid w:val="00D33C78"/>
    <w:rsid w:val="00D35B7C"/>
    <w:rsid w:val="00D36B52"/>
    <w:rsid w:val="00D4269A"/>
    <w:rsid w:val="00D505AF"/>
    <w:rsid w:val="00D56948"/>
    <w:rsid w:val="00D6035F"/>
    <w:rsid w:val="00D61801"/>
    <w:rsid w:val="00D62BEB"/>
    <w:rsid w:val="00D649AC"/>
    <w:rsid w:val="00D65B60"/>
    <w:rsid w:val="00D74620"/>
    <w:rsid w:val="00D75204"/>
    <w:rsid w:val="00D77EB3"/>
    <w:rsid w:val="00D77FC6"/>
    <w:rsid w:val="00D822E9"/>
    <w:rsid w:val="00D84A16"/>
    <w:rsid w:val="00D97538"/>
    <w:rsid w:val="00DA3528"/>
    <w:rsid w:val="00DB6C51"/>
    <w:rsid w:val="00DC5AB4"/>
    <w:rsid w:val="00DC7372"/>
    <w:rsid w:val="00DE4001"/>
    <w:rsid w:val="00DF01B9"/>
    <w:rsid w:val="00DF5470"/>
    <w:rsid w:val="00DF582C"/>
    <w:rsid w:val="00E0062C"/>
    <w:rsid w:val="00E01FF0"/>
    <w:rsid w:val="00E03235"/>
    <w:rsid w:val="00E044D8"/>
    <w:rsid w:val="00E059EC"/>
    <w:rsid w:val="00E1041B"/>
    <w:rsid w:val="00E1225A"/>
    <w:rsid w:val="00E1404C"/>
    <w:rsid w:val="00E15E32"/>
    <w:rsid w:val="00E16FA4"/>
    <w:rsid w:val="00E21AF1"/>
    <w:rsid w:val="00E22AB6"/>
    <w:rsid w:val="00E22F9F"/>
    <w:rsid w:val="00E235CA"/>
    <w:rsid w:val="00E336E4"/>
    <w:rsid w:val="00E34C18"/>
    <w:rsid w:val="00E3669C"/>
    <w:rsid w:val="00E4280A"/>
    <w:rsid w:val="00E4779B"/>
    <w:rsid w:val="00E6084C"/>
    <w:rsid w:val="00E61855"/>
    <w:rsid w:val="00E62667"/>
    <w:rsid w:val="00E641FA"/>
    <w:rsid w:val="00E75B07"/>
    <w:rsid w:val="00E77CE1"/>
    <w:rsid w:val="00E86822"/>
    <w:rsid w:val="00E92B0A"/>
    <w:rsid w:val="00EA497A"/>
    <w:rsid w:val="00EB2AA2"/>
    <w:rsid w:val="00EB4B84"/>
    <w:rsid w:val="00EB74D1"/>
    <w:rsid w:val="00EC4D13"/>
    <w:rsid w:val="00EC7082"/>
    <w:rsid w:val="00ED1047"/>
    <w:rsid w:val="00ED4064"/>
    <w:rsid w:val="00ED46DE"/>
    <w:rsid w:val="00EE099B"/>
    <w:rsid w:val="00EE1C28"/>
    <w:rsid w:val="00EF1920"/>
    <w:rsid w:val="00EF234A"/>
    <w:rsid w:val="00EF4CBC"/>
    <w:rsid w:val="00EF4CDC"/>
    <w:rsid w:val="00F12A9B"/>
    <w:rsid w:val="00F203C8"/>
    <w:rsid w:val="00F3001C"/>
    <w:rsid w:val="00F35CA5"/>
    <w:rsid w:val="00F367DF"/>
    <w:rsid w:val="00F45CA3"/>
    <w:rsid w:val="00F50764"/>
    <w:rsid w:val="00F53CA0"/>
    <w:rsid w:val="00F55E3A"/>
    <w:rsid w:val="00F61439"/>
    <w:rsid w:val="00F831A7"/>
    <w:rsid w:val="00F837B8"/>
    <w:rsid w:val="00F84228"/>
    <w:rsid w:val="00F875E5"/>
    <w:rsid w:val="00F90E08"/>
    <w:rsid w:val="00F956FF"/>
    <w:rsid w:val="00F96FFB"/>
    <w:rsid w:val="00F97BBD"/>
    <w:rsid w:val="00FA076C"/>
    <w:rsid w:val="00FA2976"/>
    <w:rsid w:val="00FB338E"/>
    <w:rsid w:val="00FB3852"/>
    <w:rsid w:val="00FC1CDC"/>
    <w:rsid w:val="00FE0672"/>
    <w:rsid w:val="00FE3B3A"/>
    <w:rsid w:val="00FE5752"/>
    <w:rsid w:val="00FF013C"/>
    <w:rsid w:val="00FF1815"/>
    <w:rsid w:val="00FF31B3"/>
    <w:rsid w:val="00FF5CFA"/>
    <w:rsid w:val="00FF661C"/>
    <w:rsid w:val="00FF7C77"/>
    <w:rsid w:val="015F6D68"/>
    <w:rsid w:val="09BD6548"/>
    <w:rsid w:val="2AB7C252"/>
    <w:rsid w:val="45BF4E85"/>
    <w:rsid w:val="68B41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ACA1D"/>
  <w15:chartTrackingRefBased/>
  <w15:docId w15:val="{A1CB0BCA-0F1E-4833-8090-999BFF888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2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2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2A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2A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2A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2A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2A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2A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2A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2A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2A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2A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2A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2A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2A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2A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2A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2A26"/>
    <w:rPr>
      <w:rFonts w:eastAsiaTheme="majorEastAsia" w:cstheme="majorBidi"/>
      <w:color w:val="272727" w:themeColor="text1" w:themeTint="D8"/>
    </w:rPr>
  </w:style>
  <w:style w:type="paragraph" w:styleId="Title">
    <w:name w:val="Title"/>
    <w:basedOn w:val="Normal"/>
    <w:next w:val="Normal"/>
    <w:link w:val="TitleChar"/>
    <w:uiPriority w:val="10"/>
    <w:qFormat/>
    <w:rsid w:val="00642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2A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2A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2A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2A26"/>
    <w:pPr>
      <w:spacing w:before="160"/>
      <w:jc w:val="center"/>
    </w:pPr>
    <w:rPr>
      <w:i/>
      <w:iCs/>
      <w:color w:val="404040" w:themeColor="text1" w:themeTint="BF"/>
    </w:rPr>
  </w:style>
  <w:style w:type="character" w:customStyle="1" w:styleId="QuoteChar">
    <w:name w:val="Quote Char"/>
    <w:basedOn w:val="DefaultParagraphFont"/>
    <w:link w:val="Quote"/>
    <w:uiPriority w:val="29"/>
    <w:rsid w:val="00642A26"/>
    <w:rPr>
      <w:i/>
      <w:iCs/>
      <w:color w:val="404040" w:themeColor="text1" w:themeTint="BF"/>
    </w:rPr>
  </w:style>
  <w:style w:type="paragraph" w:styleId="ListParagraph">
    <w:name w:val="List Paragraph"/>
    <w:basedOn w:val="Normal"/>
    <w:uiPriority w:val="34"/>
    <w:qFormat/>
    <w:rsid w:val="00642A26"/>
    <w:pPr>
      <w:ind w:left="720"/>
      <w:contextualSpacing/>
    </w:pPr>
  </w:style>
  <w:style w:type="character" w:styleId="IntenseEmphasis">
    <w:name w:val="Intense Emphasis"/>
    <w:basedOn w:val="DefaultParagraphFont"/>
    <w:uiPriority w:val="21"/>
    <w:qFormat/>
    <w:rsid w:val="00642A26"/>
    <w:rPr>
      <w:i/>
      <w:iCs/>
      <w:color w:val="0F4761" w:themeColor="accent1" w:themeShade="BF"/>
    </w:rPr>
  </w:style>
  <w:style w:type="paragraph" w:styleId="IntenseQuote">
    <w:name w:val="Intense Quote"/>
    <w:basedOn w:val="Normal"/>
    <w:next w:val="Normal"/>
    <w:link w:val="IntenseQuoteChar"/>
    <w:uiPriority w:val="30"/>
    <w:qFormat/>
    <w:rsid w:val="00642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2A26"/>
    <w:rPr>
      <w:i/>
      <w:iCs/>
      <w:color w:val="0F4761" w:themeColor="accent1" w:themeShade="BF"/>
    </w:rPr>
  </w:style>
  <w:style w:type="character" w:styleId="IntenseReference">
    <w:name w:val="Intense Reference"/>
    <w:basedOn w:val="DefaultParagraphFont"/>
    <w:uiPriority w:val="32"/>
    <w:qFormat/>
    <w:rsid w:val="00642A26"/>
    <w:rPr>
      <w:b/>
      <w:bCs/>
      <w:smallCaps/>
      <w:color w:val="0F4761" w:themeColor="accent1" w:themeShade="BF"/>
      <w:spacing w:val="5"/>
    </w:rPr>
  </w:style>
  <w:style w:type="character" w:styleId="Strong">
    <w:name w:val="Strong"/>
    <w:basedOn w:val="DefaultParagraphFont"/>
    <w:uiPriority w:val="22"/>
    <w:qFormat/>
    <w:rsid w:val="00642A26"/>
    <w:rPr>
      <w:b/>
      <w:bCs/>
    </w:rPr>
  </w:style>
  <w:style w:type="character" w:styleId="Hyperlink">
    <w:name w:val="Hyperlink"/>
    <w:basedOn w:val="DefaultParagraphFont"/>
    <w:uiPriority w:val="99"/>
    <w:unhideWhenUsed/>
    <w:rsid w:val="00A85EDB"/>
    <w:rPr>
      <w:color w:val="0000FF"/>
      <w:u w:val="single"/>
    </w:rPr>
  </w:style>
  <w:style w:type="paragraph" w:customStyle="1" w:styleId="Default">
    <w:name w:val="Default"/>
    <w:rsid w:val="000C7FF7"/>
    <w:pPr>
      <w:autoSpaceDE w:val="0"/>
      <w:autoSpaceDN w:val="0"/>
      <w:adjustRightInd w:val="0"/>
      <w:spacing w:after="0" w:line="240" w:lineRule="auto"/>
    </w:pPr>
    <w:rPr>
      <w:rFonts w:ascii="Times New Roman" w:hAnsi="Times New Roman" w:cs="Times New Roman"/>
      <w:color w:val="000000"/>
      <w:kern w:val="0"/>
    </w:rPr>
  </w:style>
  <w:style w:type="table" w:styleId="TableGridLight">
    <w:name w:val="Grid Table Light"/>
    <w:basedOn w:val="TableNormal"/>
    <w:uiPriority w:val="40"/>
    <w:rsid w:val="00A241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0062C"/>
    <w:rPr>
      <w:color w:val="605E5C"/>
      <w:shd w:val="clear" w:color="auto" w:fill="E1DFDD"/>
    </w:rPr>
  </w:style>
  <w:style w:type="character" w:styleId="FollowedHyperlink">
    <w:name w:val="FollowedHyperlink"/>
    <w:basedOn w:val="DefaultParagraphFont"/>
    <w:uiPriority w:val="99"/>
    <w:semiHidden/>
    <w:unhideWhenUsed/>
    <w:rsid w:val="00E0062C"/>
    <w:rPr>
      <w:color w:val="96607D" w:themeColor="followedHyperlink"/>
      <w:u w:val="single"/>
    </w:rPr>
  </w:style>
  <w:style w:type="paragraph" w:customStyle="1" w:styleId="paragraph">
    <w:name w:val="paragraph"/>
    <w:basedOn w:val="Normal"/>
    <w:rsid w:val="002F171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2F1715"/>
  </w:style>
  <w:style w:type="character" w:customStyle="1" w:styleId="eop">
    <w:name w:val="eop"/>
    <w:basedOn w:val="DefaultParagraphFont"/>
    <w:rsid w:val="002F1715"/>
  </w:style>
  <w:style w:type="paragraph" w:styleId="Header">
    <w:name w:val="header"/>
    <w:basedOn w:val="Normal"/>
    <w:link w:val="HeaderChar"/>
    <w:uiPriority w:val="99"/>
    <w:unhideWhenUsed/>
    <w:rsid w:val="004F7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03F"/>
  </w:style>
  <w:style w:type="paragraph" w:styleId="Footer">
    <w:name w:val="footer"/>
    <w:basedOn w:val="Normal"/>
    <w:link w:val="FooterChar"/>
    <w:uiPriority w:val="99"/>
    <w:unhideWhenUsed/>
    <w:rsid w:val="004F7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als.ncsu.edu/molecular-and-structural-biochemistry/graduate/interdisciplinary-biochemistry-masters-program/" TargetMode="Externa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cid:9D8CB6B7-0FC7-4756-BF04-DC670E09E9AA" TargetMode="External"/><Relationship Id="rId7" Type="http://schemas.openxmlformats.org/officeDocument/2006/relationships/endnotes" Target="endnotes.xml"/><Relationship Id="rId12" Type="http://schemas.openxmlformats.org/officeDocument/2006/relationships/hyperlink" Target="https://www.ncbiotech.org/"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obility.siemens.com/us/en.html"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elon.edu/?gad_source=1&amp;gad_campaignid=23597582333&amp;gclid=CjwKCAjw14zPBhAuEiwAP3-EbztX_H0DD6uim8hddqGDz3MmrwJUWrCZ50lofQl5NlI0B1Z086V58xoC4zEQAvD_BwE"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abcorp.com/"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D681BE-1E4B-453F-88D3-B27BB22CB916}">
  <we:reference id="f518cb36-c901-4d52-a9e7-4331342e485d" version="1.4.0.0" store="EXCatalog" storeType="EXCatalog"/>
  <we:alternateReferences>
    <we:reference id="WA200001011" version="1.4.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04644-ED68-47C1-ABED-73093314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92</Pages>
  <Words>36163</Words>
  <Characters>206134</Characters>
  <Application>Microsoft Office Word</Application>
  <DocSecurity>0</DocSecurity>
  <Lines>1717</Lines>
  <Paragraphs>483</Paragraphs>
  <ScaleCrop>false</ScaleCrop>
  <Company/>
  <LinksUpToDate>false</LinksUpToDate>
  <CharactersWithSpaces>241814</CharactersWithSpaces>
  <SharedDoc>false</SharedDoc>
  <HLinks>
    <vt:vector size="900" baseType="variant">
      <vt:variant>
        <vt:i4>8257632</vt:i4>
      </vt:variant>
      <vt:variant>
        <vt:i4>447</vt:i4>
      </vt:variant>
      <vt:variant>
        <vt:i4>0</vt:i4>
      </vt:variant>
      <vt:variant>
        <vt:i4>5</vt:i4>
      </vt:variant>
      <vt:variant>
        <vt:lpwstr/>
      </vt:variant>
      <vt:variant>
        <vt:lpwstr>TableofContents</vt:lpwstr>
      </vt:variant>
      <vt:variant>
        <vt:i4>8257632</vt:i4>
      </vt:variant>
      <vt:variant>
        <vt:i4>444</vt:i4>
      </vt:variant>
      <vt:variant>
        <vt:i4>0</vt:i4>
      </vt:variant>
      <vt:variant>
        <vt:i4>5</vt:i4>
      </vt:variant>
      <vt:variant>
        <vt:lpwstr/>
      </vt:variant>
      <vt:variant>
        <vt:lpwstr>TableofContents</vt:lpwstr>
      </vt:variant>
      <vt:variant>
        <vt:i4>8257632</vt:i4>
      </vt:variant>
      <vt:variant>
        <vt:i4>441</vt:i4>
      </vt:variant>
      <vt:variant>
        <vt:i4>0</vt:i4>
      </vt:variant>
      <vt:variant>
        <vt:i4>5</vt:i4>
      </vt:variant>
      <vt:variant>
        <vt:lpwstr/>
      </vt:variant>
      <vt:variant>
        <vt:lpwstr>TableofContents</vt:lpwstr>
      </vt:variant>
      <vt:variant>
        <vt:i4>8257632</vt:i4>
      </vt:variant>
      <vt:variant>
        <vt:i4>438</vt:i4>
      </vt:variant>
      <vt:variant>
        <vt:i4>0</vt:i4>
      </vt:variant>
      <vt:variant>
        <vt:i4>5</vt:i4>
      </vt:variant>
      <vt:variant>
        <vt:lpwstr/>
      </vt:variant>
      <vt:variant>
        <vt:lpwstr>TableofContents</vt:lpwstr>
      </vt:variant>
      <vt:variant>
        <vt:i4>8257632</vt:i4>
      </vt:variant>
      <vt:variant>
        <vt:i4>435</vt:i4>
      </vt:variant>
      <vt:variant>
        <vt:i4>0</vt:i4>
      </vt:variant>
      <vt:variant>
        <vt:i4>5</vt:i4>
      </vt:variant>
      <vt:variant>
        <vt:lpwstr/>
      </vt:variant>
      <vt:variant>
        <vt:lpwstr>TableofContents</vt:lpwstr>
      </vt:variant>
      <vt:variant>
        <vt:i4>8257632</vt:i4>
      </vt:variant>
      <vt:variant>
        <vt:i4>432</vt:i4>
      </vt:variant>
      <vt:variant>
        <vt:i4>0</vt:i4>
      </vt:variant>
      <vt:variant>
        <vt:i4>5</vt:i4>
      </vt:variant>
      <vt:variant>
        <vt:lpwstr/>
      </vt:variant>
      <vt:variant>
        <vt:lpwstr>TableofContents</vt:lpwstr>
      </vt:variant>
      <vt:variant>
        <vt:i4>8257632</vt:i4>
      </vt:variant>
      <vt:variant>
        <vt:i4>429</vt:i4>
      </vt:variant>
      <vt:variant>
        <vt:i4>0</vt:i4>
      </vt:variant>
      <vt:variant>
        <vt:i4>5</vt:i4>
      </vt:variant>
      <vt:variant>
        <vt:lpwstr/>
      </vt:variant>
      <vt:variant>
        <vt:lpwstr>TableofContents</vt:lpwstr>
      </vt:variant>
      <vt:variant>
        <vt:i4>8257632</vt:i4>
      </vt:variant>
      <vt:variant>
        <vt:i4>426</vt:i4>
      </vt:variant>
      <vt:variant>
        <vt:i4>0</vt:i4>
      </vt:variant>
      <vt:variant>
        <vt:i4>5</vt:i4>
      </vt:variant>
      <vt:variant>
        <vt:lpwstr/>
      </vt:variant>
      <vt:variant>
        <vt:lpwstr>TableofContents</vt:lpwstr>
      </vt:variant>
      <vt:variant>
        <vt:i4>8257632</vt:i4>
      </vt:variant>
      <vt:variant>
        <vt:i4>423</vt:i4>
      </vt:variant>
      <vt:variant>
        <vt:i4>0</vt:i4>
      </vt:variant>
      <vt:variant>
        <vt:i4>5</vt:i4>
      </vt:variant>
      <vt:variant>
        <vt:lpwstr/>
      </vt:variant>
      <vt:variant>
        <vt:lpwstr>TableofContents</vt:lpwstr>
      </vt:variant>
      <vt:variant>
        <vt:i4>8257632</vt:i4>
      </vt:variant>
      <vt:variant>
        <vt:i4>420</vt:i4>
      </vt:variant>
      <vt:variant>
        <vt:i4>0</vt:i4>
      </vt:variant>
      <vt:variant>
        <vt:i4>5</vt:i4>
      </vt:variant>
      <vt:variant>
        <vt:lpwstr/>
      </vt:variant>
      <vt:variant>
        <vt:lpwstr>TableofContents</vt:lpwstr>
      </vt:variant>
      <vt:variant>
        <vt:i4>8257632</vt:i4>
      </vt:variant>
      <vt:variant>
        <vt:i4>417</vt:i4>
      </vt:variant>
      <vt:variant>
        <vt:i4>0</vt:i4>
      </vt:variant>
      <vt:variant>
        <vt:i4>5</vt:i4>
      </vt:variant>
      <vt:variant>
        <vt:lpwstr/>
      </vt:variant>
      <vt:variant>
        <vt:lpwstr>TableofContents</vt:lpwstr>
      </vt:variant>
      <vt:variant>
        <vt:i4>8257632</vt:i4>
      </vt:variant>
      <vt:variant>
        <vt:i4>414</vt:i4>
      </vt:variant>
      <vt:variant>
        <vt:i4>0</vt:i4>
      </vt:variant>
      <vt:variant>
        <vt:i4>5</vt:i4>
      </vt:variant>
      <vt:variant>
        <vt:lpwstr/>
      </vt:variant>
      <vt:variant>
        <vt:lpwstr>TableofContents</vt:lpwstr>
      </vt:variant>
      <vt:variant>
        <vt:i4>8257632</vt:i4>
      </vt:variant>
      <vt:variant>
        <vt:i4>411</vt:i4>
      </vt:variant>
      <vt:variant>
        <vt:i4>0</vt:i4>
      </vt:variant>
      <vt:variant>
        <vt:i4>5</vt:i4>
      </vt:variant>
      <vt:variant>
        <vt:lpwstr/>
      </vt:variant>
      <vt:variant>
        <vt:lpwstr>TableofContents</vt:lpwstr>
      </vt:variant>
      <vt:variant>
        <vt:i4>8257632</vt:i4>
      </vt:variant>
      <vt:variant>
        <vt:i4>408</vt:i4>
      </vt:variant>
      <vt:variant>
        <vt:i4>0</vt:i4>
      </vt:variant>
      <vt:variant>
        <vt:i4>5</vt:i4>
      </vt:variant>
      <vt:variant>
        <vt:lpwstr/>
      </vt:variant>
      <vt:variant>
        <vt:lpwstr>TableofContents</vt:lpwstr>
      </vt:variant>
      <vt:variant>
        <vt:i4>8257632</vt:i4>
      </vt:variant>
      <vt:variant>
        <vt:i4>405</vt:i4>
      </vt:variant>
      <vt:variant>
        <vt:i4>0</vt:i4>
      </vt:variant>
      <vt:variant>
        <vt:i4>5</vt:i4>
      </vt:variant>
      <vt:variant>
        <vt:lpwstr/>
      </vt:variant>
      <vt:variant>
        <vt:lpwstr>TableofContents</vt:lpwstr>
      </vt:variant>
      <vt:variant>
        <vt:i4>8257632</vt:i4>
      </vt:variant>
      <vt:variant>
        <vt:i4>402</vt:i4>
      </vt:variant>
      <vt:variant>
        <vt:i4>0</vt:i4>
      </vt:variant>
      <vt:variant>
        <vt:i4>5</vt:i4>
      </vt:variant>
      <vt:variant>
        <vt:lpwstr/>
      </vt:variant>
      <vt:variant>
        <vt:lpwstr>TableofContents</vt:lpwstr>
      </vt:variant>
      <vt:variant>
        <vt:i4>8257632</vt:i4>
      </vt:variant>
      <vt:variant>
        <vt:i4>399</vt:i4>
      </vt:variant>
      <vt:variant>
        <vt:i4>0</vt:i4>
      </vt:variant>
      <vt:variant>
        <vt:i4>5</vt:i4>
      </vt:variant>
      <vt:variant>
        <vt:lpwstr/>
      </vt:variant>
      <vt:variant>
        <vt:lpwstr>TableofContents</vt:lpwstr>
      </vt:variant>
      <vt:variant>
        <vt:i4>8257632</vt:i4>
      </vt:variant>
      <vt:variant>
        <vt:i4>396</vt:i4>
      </vt:variant>
      <vt:variant>
        <vt:i4>0</vt:i4>
      </vt:variant>
      <vt:variant>
        <vt:i4>5</vt:i4>
      </vt:variant>
      <vt:variant>
        <vt:lpwstr/>
      </vt:variant>
      <vt:variant>
        <vt:lpwstr>TableofContents</vt:lpwstr>
      </vt:variant>
      <vt:variant>
        <vt:i4>8257632</vt:i4>
      </vt:variant>
      <vt:variant>
        <vt:i4>393</vt:i4>
      </vt:variant>
      <vt:variant>
        <vt:i4>0</vt:i4>
      </vt:variant>
      <vt:variant>
        <vt:i4>5</vt:i4>
      </vt:variant>
      <vt:variant>
        <vt:lpwstr/>
      </vt:variant>
      <vt:variant>
        <vt:lpwstr>TableofContents</vt:lpwstr>
      </vt:variant>
      <vt:variant>
        <vt:i4>8257632</vt:i4>
      </vt:variant>
      <vt:variant>
        <vt:i4>390</vt:i4>
      </vt:variant>
      <vt:variant>
        <vt:i4>0</vt:i4>
      </vt:variant>
      <vt:variant>
        <vt:i4>5</vt:i4>
      </vt:variant>
      <vt:variant>
        <vt:lpwstr/>
      </vt:variant>
      <vt:variant>
        <vt:lpwstr>TableofContents</vt:lpwstr>
      </vt:variant>
      <vt:variant>
        <vt:i4>8257632</vt:i4>
      </vt:variant>
      <vt:variant>
        <vt:i4>387</vt:i4>
      </vt:variant>
      <vt:variant>
        <vt:i4>0</vt:i4>
      </vt:variant>
      <vt:variant>
        <vt:i4>5</vt:i4>
      </vt:variant>
      <vt:variant>
        <vt:lpwstr/>
      </vt:variant>
      <vt:variant>
        <vt:lpwstr>TableofContents</vt:lpwstr>
      </vt:variant>
      <vt:variant>
        <vt:i4>8257632</vt:i4>
      </vt:variant>
      <vt:variant>
        <vt:i4>384</vt:i4>
      </vt:variant>
      <vt:variant>
        <vt:i4>0</vt:i4>
      </vt:variant>
      <vt:variant>
        <vt:i4>5</vt:i4>
      </vt:variant>
      <vt:variant>
        <vt:lpwstr/>
      </vt:variant>
      <vt:variant>
        <vt:lpwstr>TableofContents</vt:lpwstr>
      </vt:variant>
      <vt:variant>
        <vt:i4>8257632</vt:i4>
      </vt:variant>
      <vt:variant>
        <vt:i4>381</vt:i4>
      </vt:variant>
      <vt:variant>
        <vt:i4>0</vt:i4>
      </vt:variant>
      <vt:variant>
        <vt:i4>5</vt:i4>
      </vt:variant>
      <vt:variant>
        <vt:lpwstr/>
      </vt:variant>
      <vt:variant>
        <vt:lpwstr>TableofContents</vt:lpwstr>
      </vt:variant>
      <vt:variant>
        <vt:i4>8257632</vt:i4>
      </vt:variant>
      <vt:variant>
        <vt:i4>378</vt:i4>
      </vt:variant>
      <vt:variant>
        <vt:i4>0</vt:i4>
      </vt:variant>
      <vt:variant>
        <vt:i4>5</vt:i4>
      </vt:variant>
      <vt:variant>
        <vt:lpwstr/>
      </vt:variant>
      <vt:variant>
        <vt:lpwstr>TableofContents</vt:lpwstr>
      </vt:variant>
      <vt:variant>
        <vt:i4>8257632</vt:i4>
      </vt:variant>
      <vt:variant>
        <vt:i4>375</vt:i4>
      </vt:variant>
      <vt:variant>
        <vt:i4>0</vt:i4>
      </vt:variant>
      <vt:variant>
        <vt:i4>5</vt:i4>
      </vt:variant>
      <vt:variant>
        <vt:lpwstr/>
      </vt:variant>
      <vt:variant>
        <vt:lpwstr>TableofContents</vt:lpwstr>
      </vt:variant>
      <vt:variant>
        <vt:i4>8257632</vt:i4>
      </vt:variant>
      <vt:variant>
        <vt:i4>372</vt:i4>
      </vt:variant>
      <vt:variant>
        <vt:i4>0</vt:i4>
      </vt:variant>
      <vt:variant>
        <vt:i4>5</vt:i4>
      </vt:variant>
      <vt:variant>
        <vt:lpwstr/>
      </vt:variant>
      <vt:variant>
        <vt:lpwstr>TableofContents</vt:lpwstr>
      </vt:variant>
      <vt:variant>
        <vt:i4>8257632</vt:i4>
      </vt:variant>
      <vt:variant>
        <vt:i4>369</vt:i4>
      </vt:variant>
      <vt:variant>
        <vt:i4>0</vt:i4>
      </vt:variant>
      <vt:variant>
        <vt:i4>5</vt:i4>
      </vt:variant>
      <vt:variant>
        <vt:lpwstr/>
      </vt:variant>
      <vt:variant>
        <vt:lpwstr>TableofContents</vt:lpwstr>
      </vt:variant>
      <vt:variant>
        <vt:i4>8257632</vt:i4>
      </vt:variant>
      <vt:variant>
        <vt:i4>366</vt:i4>
      </vt:variant>
      <vt:variant>
        <vt:i4>0</vt:i4>
      </vt:variant>
      <vt:variant>
        <vt:i4>5</vt:i4>
      </vt:variant>
      <vt:variant>
        <vt:lpwstr/>
      </vt:variant>
      <vt:variant>
        <vt:lpwstr>TableofContents</vt:lpwstr>
      </vt:variant>
      <vt:variant>
        <vt:i4>8257632</vt:i4>
      </vt:variant>
      <vt:variant>
        <vt:i4>363</vt:i4>
      </vt:variant>
      <vt:variant>
        <vt:i4>0</vt:i4>
      </vt:variant>
      <vt:variant>
        <vt:i4>5</vt:i4>
      </vt:variant>
      <vt:variant>
        <vt:lpwstr/>
      </vt:variant>
      <vt:variant>
        <vt:lpwstr>TableofContents</vt:lpwstr>
      </vt:variant>
      <vt:variant>
        <vt:i4>8257632</vt:i4>
      </vt:variant>
      <vt:variant>
        <vt:i4>360</vt:i4>
      </vt:variant>
      <vt:variant>
        <vt:i4>0</vt:i4>
      </vt:variant>
      <vt:variant>
        <vt:i4>5</vt:i4>
      </vt:variant>
      <vt:variant>
        <vt:lpwstr/>
      </vt:variant>
      <vt:variant>
        <vt:lpwstr>TableofContents</vt:lpwstr>
      </vt:variant>
      <vt:variant>
        <vt:i4>8257632</vt:i4>
      </vt:variant>
      <vt:variant>
        <vt:i4>357</vt:i4>
      </vt:variant>
      <vt:variant>
        <vt:i4>0</vt:i4>
      </vt:variant>
      <vt:variant>
        <vt:i4>5</vt:i4>
      </vt:variant>
      <vt:variant>
        <vt:lpwstr/>
      </vt:variant>
      <vt:variant>
        <vt:lpwstr>TableofContents</vt:lpwstr>
      </vt:variant>
      <vt:variant>
        <vt:i4>8257632</vt:i4>
      </vt:variant>
      <vt:variant>
        <vt:i4>354</vt:i4>
      </vt:variant>
      <vt:variant>
        <vt:i4>0</vt:i4>
      </vt:variant>
      <vt:variant>
        <vt:i4>5</vt:i4>
      </vt:variant>
      <vt:variant>
        <vt:lpwstr/>
      </vt:variant>
      <vt:variant>
        <vt:lpwstr>TableofContents</vt:lpwstr>
      </vt:variant>
      <vt:variant>
        <vt:i4>8257632</vt:i4>
      </vt:variant>
      <vt:variant>
        <vt:i4>351</vt:i4>
      </vt:variant>
      <vt:variant>
        <vt:i4>0</vt:i4>
      </vt:variant>
      <vt:variant>
        <vt:i4>5</vt:i4>
      </vt:variant>
      <vt:variant>
        <vt:lpwstr/>
      </vt:variant>
      <vt:variant>
        <vt:lpwstr>TableofContents</vt:lpwstr>
      </vt:variant>
      <vt:variant>
        <vt:i4>8257632</vt:i4>
      </vt:variant>
      <vt:variant>
        <vt:i4>348</vt:i4>
      </vt:variant>
      <vt:variant>
        <vt:i4>0</vt:i4>
      </vt:variant>
      <vt:variant>
        <vt:i4>5</vt:i4>
      </vt:variant>
      <vt:variant>
        <vt:lpwstr/>
      </vt:variant>
      <vt:variant>
        <vt:lpwstr>TableofContents</vt:lpwstr>
      </vt:variant>
      <vt:variant>
        <vt:i4>8257632</vt:i4>
      </vt:variant>
      <vt:variant>
        <vt:i4>345</vt:i4>
      </vt:variant>
      <vt:variant>
        <vt:i4>0</vt:i4>
      </vt:variant>
      <vt:variant>
        <vt:i4>5</vt:i4>
      </vt:variant>
      <vt:variant>
        <vt:lpwstr/>
      </vt:variant>
      <vt:variant>
        <vt:lpwstr>TableofContents</vt:lpwstr>
      </vt:variant>
      <vt:variant>
        <vt:i4>8257632</vt:i4>
      </vt:variant>
      <vt:variant>
        <vt:i4>342</vt:i4>
      </vt:variant>
      <vt:variant>
        <vt:i4>0</vt:i4>
      </vt:variant>
      <vt:variant>
        <vt:i4>5</vt:i4>
      </vt:variant>
      <vt:variant>
        <vt:lpwstr/>
      </vt:variant>
      <vt:variant>
        <vt:lpwstr>TableofContents</vt:lpwstr>
      </vt:variant>
      <vt:variant>
        <vt:i4>8257632</vt:i4>
      </vt:variant>
      <vt:variant>
        <vt:i4>339</vt:i4>
      </vt:variant>
      <vt:variant>
        <vt:i4>0</vt:i4>
      </vt:variant>
      <vt:variant>
        <vt:i4>5</vt:i4>
      </vt:variant>
      <vt:variant>
        <vt:lpwstr/>
      </vt:variant>
      <vt:variant>
        <vt:lpwstr>TableofContents</vt:lpwstr>
      </vt:variant>
      <vt:variant>
        <vt:i4>8257632</vt:i4>
      </vt:variant>
      <vt:variant>
        <vt:i4>336</vt:i4>
      </vt:variant>
      <vt:variant>
        <vt:i4>0</vt:i4>
      </vt:variant>
      <vt:variant>
        <vt:i4>5</vt:i4>
      </vt:variant>
      <vt:variant>
        <vt:lpwstr/>
      </vt:variant>
      <vt:variant>
        <vt:lpwstr>TableofContents</vt:lpwstr>
      </vt:variant>
      <vt:variant>
        <vt:i4>8257632</vt:i4>
      </vt:variant>
      <vt:variant>
        <vt:i4>333</vt:i4>
      </vt:variant>
      <vt:variant>
        <vt:i4>0</vt:i4>
      </vt:variant>
      <vt:variant>
        <vt:i4>5</vt:i4>
      </vt:variant>
      <vt:variant>
        <vt:lpwstr/>
      </vt:variant>
      <vt:variant>
        <vt:lpwstr>TableofContents</vt:lpwstr>
      </vt:variant>
      <vt:variant>
        <vt:i4>8257632</vt:i4>
      </vt:variant>
      <vt:variant>
        <vt:i4>330</vt:i4>
      </vt:variant>
      <vt:variant>
        <vt:i4>0</vt:i4>
      </vt:variant>
      <vt:variant>
        <vt:i4>5</vt:i4>
      </vt:variant>
      <vt:variant>
        <vt:lpwstr/>
      </vt:variant>
      <vt:variant>
        <vt:lpwstr>TableofContents</vt:lpwstr>
      </vt:variant>
      <vt:variant>
        <vt:i4>8257632</vt:i4>
      </vt:variant>
      <vt:variant>
        <vt:i4>327</vt:i4>
      </vt:variant>
      <vt:variant>
        <vt:i4>0</vt:i4>
      </vt:variant>
      <vt:variant>
        <vt:i4>5</vt:i4>
      </vt:variant>
      <vt:variant>
        <vt:lpwstr/>
      </vt:variant>
      <vt:variant>
        <vt:lpwstr>TableofContents</vt:lpwstr>
      </vt:variant>
      <vt:variant>
        <vt:i4>8257632</vt:i4>
      </vt:variant>
      <vt:variant>
        <vt:i4>324</vt:i4>
      </vt:variant>
      <vt:variant>
        <vt:i4>0</vt:i4>
      </vt:variant>
      <vt:variant>
        <vt:i4>5</vt:i4>
      </vt:variant>
      <vt:variant>
        <vt:lpwstr/>
      </vt:variant>
      <vt:variant>
        <vt:lpwstr>TableofContents</vt:lpwstr>
      </vt:variant>
      <vt:variant>
        <vt:i4>8257632</vt:i4>
      </vt:variant>
      <vt:variant>
        <vt:i4>321</vt:i4>
      </vt:variant>
      <vt:variant>
        <vt:i4>0</vt:i4>
      </vt:variant>
      <vt:variant>
        <vt:i4>5</vt:i4>
      </vt:variant>
      <vt:variant>
        <vt:lpwstr/>
      </vt:variant>
      <vt:variant>
        <vt:lpwstr>TableofContents</vt:lpwstr>
      </vt:variant>
      <vt:variant>
        <vt:i4>8257632</vt:i4>
      </vt:variant>
      <vt:variant>
        <vt:i4>318</vt:i4>
      </vt:variant>
      <vt:variant>
        <vt:i4>0</vt:i4>
      </vt:variant>
      <vt:variant>
        <vt:i4>5</vt:i4>
      </vt:variant>
      <vt:variant>
        <vt:lpwstr/>
      </vt:variant>
      <vt:variant>
        <vt:lpwstr>TableofContents</vt:lpwstr>
      </vt:variant>
      <vt:variant>
        <vt:i4>8257632</vt:i4>
      </vt:variant>
      <vt:variant>
        <vt:i4>315</vt:i4>
      </vt:variant>
      <vt:variant>
        <vt:i4>0</vt:i4>
      </vt:variant>
      <vt:variant>
        <vt:i4>5</vt:i4>
      </vt:variant>
      <vt:variant>
        <vt:lpwstr/>
      </vt:variant>
      <vt:variant>
        <vt:lpwstr>TableofContents</vt:lpwstr>
      </vt:variant>
      <vt:variant>
        <vt:i4>8257632</vt:i4>
      </vt:variant>
      <vt:variant>
        <vt:i4>312</vt:i4>
      </vt:variant>
      <vt:variant>
        <vt:i4>0</vt:i4>
      </vt:variant>
      <vt:variant>
        <vt:i4>5</vt:i4>
      </vt:variant>
      <vt:variant>
        <vt:lpwstr/>
      </vt:variant>
      <vt:variant>
        <vt:lpwstr>TableofContents</vt:lpwstr>
      </vt:variant>
      <vt:variant>
        <vt:i4>8257632</vt:i4>
      </vt:variant>
      <vt:variant>
        <vt:i4>309</vt:i4>
      </vt:variant>
      <vt:variant>
        <vt:i4>0</vt:i4>
      </vt:variant>
      <vt:variant>
        <vt:i4>5</vt:i4>
      </vt:variant>
      <vt:variant>
        <vt:lpwstr/>
      </vt:variant>
      <vt:variant>
        <vt:lpwstr>TableofContents</vt:lpwstr>
      </vt:variant>
      <vt:variant>
        <vt:i4>8257632</vt:i4>
      </vt:variant>
      <vt:variant>
        <vt:i4>306</vt:i4>
      </vt:variant>
      <vt:variant>
        <vt:i4>0</vt:i4>
      </vt:variant>
      <vt:variant>
        <vt:i4>5</vt:i4>
      </vt:variant>
      <vt:variant>
        <vt:lpwstr/>
      </vt:variant>
      <vt:variant>
        <vt:lpwstr>TableofContents</vt:lpwstr>
      </vt:variant>
      <vt:variant>
        <vt:i4>8257632</vt:i4>
      </vt:variant>
      <vt:variant>
        <vt:i4>303</vt:i4>
      </vt:variant>
      <vt:variant>
        <vt:i4>0</vt:i4>
      </vt:variant>
      <vt:variant>
        <vt:i4>5</vt:i4>
      </vt:variant>
      <vt:variant>
        <vt:lpwstr/>
      </vt:variant>
      <vt:variant>
        <vt:lpwstr>TableofContents</vt:lpwstr>
      </vt:variant>
      <vt:variant>
        <vt:i4>8257632</vt:i4>
      </vt:variant>
      <vt:variant>
        <vt:i4>300</vt:i4>
      </vt:variant>
      <vt:variant>
        <vt:i4>0</vt:i4>
      </vt:variant>
      <vt:variant>
        <vt:i4>5</vt:i4>
      </vt:variant>
      <vt:variant>
        <vt:lpwstr/>
      </vt:variant>
      <vt:variant>
        <vt:lpwstr>TableofContents</vt:lpwstr>
      </vt:variant>
      <vt:variant>
        <vt:i4>8257632</vt:i4>
      </vt:variant>
      <vt:variant>
        <vt:i4>297</vt:i4>
      </vt:variant>
      <vt:variant>
        <vt:i4>0</vt:i4>
      </vt:variant>
      <vt:variant>
        <vt:i4>5</vt:i4>
      </vt:variant>
      <vt:variant>
        <vt:lpwstr/>
      </vt:variant>
      <vt:variant>
        <vt:lpwstr>TableofContents</vt:lpwstr>
      </vt:variant>
      <vt:variant>
        <vt:i4>8257632</vt:i4>
      </vt:variant>
      <vt:variant>
        <vt:i4>294</vt:i4>
      </vt:variant>
      <vt:variant>
        <vt:i4>0</vt:i4>
      </vt:variant>
      <vt:variant>
        <vt:i4>5</vt:i4>
      </vt:variant>
      <vt:variant>
        <vt:lpwstr/>
      </vt:variant>
      <vt:variant>
        <vt:lpwstr>TableofContents</vt:lpwstr>
      </vt:variant>
      <vt:variant>
        <vt:i4>8257632</vt:i4>
      </vt:variant>
      <vt:variant>
        <vt:i4>291</vt:i4>
      </vt:variant>
      <vt:variant>
        <vt:i4>0</vt:i4>
      </vt:variant>
      <vt:variant>
        <vt:i4>5</vt:i4>
      </vt:variant>
      <vt:variant>
        <vt:lpwstr/>
      </vt:variant>
      <vt:variant>
        <vt:lpwstr>TableofContents</vt:lpwstr>
      </vt:variant>
      <vt:variant>
        <vt:i4>8257632</vt:i4>
      </vt:variant>
      <vt:variant>
        <vt:i4>288</vt:i4>
      </vt:variant>
      <vt:variant>
        <vt:i4>0</vt:i4>
      </vt:variant>
      <vt:variant>
        <vt:i4>5</vt:i4>
      </vt:variant>
      <vt:variant>
        <vt:lpwstr/>
      </vt:variant>
      <vt:variant>
        <vt:lpwstr>TableofContents</vt:lpwstr>
      </vt:variant>
      <vt:variant>
        <vt:i4>8257632</vt:i4>
      </vt:variant>
      <vt:variant>
        <vt:i4>285</vt:i4>
      </vt:variant>
      <vt:variant>
        <vt:i4>0</vt:i4>
      </vt:variant>
      <vt:variant>
        <vt:i4>5</vt:i4>
      </vt:variant>
      <vt:variant>
        <vt:lpwstr/>
      </vt:variant>
      <vt:variant>
        <vt:lpwstr>TableofContents</vt:lpwstr>
      </vt:variant>
      <vt:variant>
        <vt:i4>8257632</vt:i4>
      </vt:variant>
      <vt:variant>
        <vt:i4>282</vt:i4>
      </vt:variant>
      <vt:variant>
        <vt:i4>0</vt:i4>
      </vt:variant>
      <vt:variant>
        <vt:i4>5</vt:i4>
      </vt:variant>
      <vt:variant>
        <vt:lpwstr/>
      </vt:variant>
      <vt:variant>
        <vt:lpwstr>TableofContents</vt:lpwstr>
      </vt:variant>
      <vt:variant>
        <vt:i4>8257632</vt:i4>
      </vt:variant>
      <vt:variant>
        <vt:i4>279</vt:i4>
      </vt:variant>
      <vt:variant>
        <vt:i4>0</vt:i4>
      </vt:variant>
      <vt:variant>
        <vt:i4>5</vt:i4>
      </vt:variant>
      <vt:variant>
        <vt:lpwstr/>
      </vt:variant>
      <vt:variant>
        <vt:lpwstr>TableofContents</vt:lpwstr>
      </vt:variant>
      <vt:variant>
        <vt:i4>8257632</vt:i4>
      </vt:variant>
      <vt:variant>
        <vt:i4>276</vt:i4>
      </vt:variant>
      <vt:variant>
        <vt:i4>0</vt:i4>
      </vt:variant>
      <vt:variant>
        <vt:i4>5</vt:i4>
      </vt:variant>
      <vt:variant>
        <vt:lpwstr/>
      </vt:variant>
      <vt:variant>
        <vt:lpwstr>TableofContents</vt:lpwstr>
      </vt:variant>
      <vt:variant>
        <vt:i4>8257632</vt:i4>
      </vt:variant>
      <vt:variant>
        <vt:i4>273</vt:i4>
      </vt:variant>
      <vt:variant>
        <vt:i4>0</vt:i4>
      </vt:variant>
      <vt:variant>
        <vt:i4>5</vt:i4>
      </vt:variant>
      <vt:variant>
        <vt:lpwstr/>
      </vt:variant>
      <vt:variant>
        <vt:lpwstr>TableofContents</vt:lpwstr>
      </vt:variant>
      <vt:variant>
        <vt:i4>8257632</vt:i4>
      </vt:variant>
      <vt:variant>
        <vt:i4>270</vt:i4>
      </vt:variant>
      <vt:variant>
        <vt:i4>0</vt:i4>
      </vt:variant>
      <vt:variant>
        <vt:i4>5</vt:i4>
      </vt:variant>
      <vt:variant>
        <vt:lpwstr/>
      </vt:variant>
      <vt:variant>
        <vt:lpwstr>TableofContents</vt:lpwstr>
      </vt:variant>
      <vt:variant>
        <vt:i4>8257632</vt:i4>
      </vt:variant>
      <vt:variant>
        <vt:i4>267</vt:i4>
      </vt:variant>
      <vt:variant>
        <vt:i4>0</vt:i4>
      </vt:variant>
      <vt:variant>
        <vt:i4>5</vt:i4>
      </vt:variant>
      <vt:variant>
        <vt:lpwstr/>
      </vt:variant>
      <vt:variant>
        <vt:lpwstr>TableofContents</vt:lpwstr>
      </vt:variant>
      <vt:variant>
        <vt:i4>8257632</vt:i4>
      </vt:variant>
      <vt:variant>
        <vt:i4>264</vt:i4>
      </vt:variant>
      <vt:variant>
        <vt:i4>0</vt:i4>
      </vt:variant>
      <vt:variant>
        <vt:i4>5</vt:i4>
      </vt:variant>
      <vt:variant>
        <vt:lpwstr/>
      </vt:variant>
      <vt:variant>
        <vt:lpwstr>TableofContents</vt:lpwstr>
      </vt:variant>
      <vt:variant>
        <vt:i4>8257632</vt:i4>
      </vt:variant>
      <vt:variant>
        <vt:i4>261</vt:i4>
      </vt:variant>
      <vt:variant>
        <vt:i4>0</vt:i4>
      </vt:variant>
      <vt:variant>
        <vt:i4>5</vt:i4>
      </vt:variant>
      <vt:variant>
        <vt:lpwstr/>
      </vt:variant>
      <vt:variant>
        <vt:lpwstr>TableofContents</vt:lpwstr>
      </vt:variant>
      <vt:variant>
        <vt:i4>8257632</vt:i4>
      </vt:variant>
      <vt:variant>
        <vt:i4>258</vt:i4>
      </vt:variant>
      <vt:variant>
        <vt:i4>0</vt:i4>
      </vt:variant>
      <vt:variant>
        <vt:i4>5</vt:i4>
      </vt:variant>
      <vt:variant>
        <vt:lpwstr/>
      </vt:variant>
      <vt:variant>
        <vt:lpwstr>TableofContents</vt:lpwstr>
      </vt:variant>
      <vt:variant>
        <vt:i4>8257632</vt:i4>
      </vt:variant>
      <vt:variant>
        <vt:i4>255</vt:i4>
      </vt:variant>
      <vt:variant>
        <vt:i4>0</vt:i4>
      </vt:variant>
      <vt:variant>
        <vt:i4>5</vt:i4>
      </vt:variant>
      <vt:variant>
        <vt:lpwstr/>
      </vt:variant>
      <vt:variant>
        <vt:lpwstr>TableofContents</vt:lpwstr>
      </vt:variant>
      <vt:variant>
        <vt:i4>8257632</vt:i4>
      </vt:variant>
      <vt:variant>
        <vt:i4>252</vt:i4>
      </vt:variant>
      <vt:variant>
        <vt:i4>0</vt:i4>
      </vt:variant>
      <vt:variant>
        <vt:i4>5</vt:i4>
      </vt:variant>
      <vt:variant>
        <vt:lpwstr/>
      </vt:variant>
      <vt:variant>
        <vt:lpwstr>TableofContents</vt:lpwstr>
      </vt:variant>
      <vt:variant>
        <vt:i4>8257632</vt:i4>
      </vt:variant>
      <vt:variant>
        <vt:i4>249</vt:i4>
      </vt:variant>
      <vt:variant>
        <vt:i4>0</vt:i4>
      </vt:variant>
      <vt:variant>
        <vt:i4>5</vt:i4>
      </vt:variant>
      <vt:variant>
        <vt:lpwstr/>
      </vt:variant>
      <vt:variant>
        <vt:lpwstr>TableofContents</vt:lpwstr>
      </vt:variant>
      <vt:variant>
        <vt:i4>8257632</vt:i4>
      </vt:variant>
      <vt:variant>
        <vt:i4>246</vt:i4>
      </vt:variant>
      <vt:variant>
        <vt:i4>0</vt:i4>
      </vt:variant>
      <vt:variant>
        <vt:i4>5</vt:i4>
      </vt:variant>
      <vt:variant>
        <vt:lpwstr/>
      </vt:variant>
      <vt:variant>
        <vt:lpwstr>TableofContents</vt:lpwstr>
      </vt:variant>
      <vt:variant>
        <vt:i4>8257632</vt:i4>
      </vt:variant>
      <vt:variant>
        <vt:i4>243</vt:i4>
      </vt:variant>
      <vt:variant>
        <vt:i4>0</vt:i4>
      </vt:variant>
      <vt:variant>
        <vt:i4>5</vt:i4>
      </vt:variant>
      <vt:variant>
        <vt:lpwstr/>
      </vt:variant>
      <vt:variant>
        <vt:lpwstr>TableofContents</vt:lpwstr>
      </vt:variant>
      <vt:variant>
        <vt:i4>8257632</vt:i4>
      </vt:variant>
      <vt:variant>
        <vt:i4>240</vt:i4>
      </vt:variant>
      <vt:variant>
        <vt:i4>0</vt:i4>
      </vt:variant>
      <vt:variant>
        <vt:i4>5</vt:i4>
      </vt:variant>
      <vt:variant>
        <vt:lpwstr/>
      </vt:variant>
      <vt:variant>
        <vt:lpwstr>TableofContents</vt:lpwstr>
      </vt:variant>
      <vt:variant>
        <vt:i4>8257632</vt:i4>
      </vt:variant>
      <vt:variant>
        <vt:i4>237</vt:i4>
      </vt:variant>
      <vt:variant>
        <vt:i4>0</vt:i4>
      </vt:variant>
      <vt:variant>
        <vt:i4>5</vt:i4>
      </vt:variant>
      <vt:variant>
        <vt:lpwstr/>
      </vt:variant>
      <vt:variant>
        <vt:lpwstr>TableofContents</vt:lpwstr>
      </vt:variant>
      <vt:variant>
        <vt:i4>8257632</vt:i4>
      </vt:variant>
      <vt:variant>
        <vt:i4>234</vt:i4>
      </vt:variant>
      <vt:variant>
        <vt:i4>0</vt:i4>
      </vt:variant>
      <vt:variant>
        <vt:i4>5</vt:i4>
      </vt:variant>
      <vt:variant>
        <vt:lpwstr/>
      </vt:variant>
      <vt:variant>
        <vt:lpwstr>TableofContents</vt:lpwstr>
      </vt:variant>
      <vt:variant>
        <vt:i4>8257632</vt:i4>
      </vt:variant>
      <vt:variant>
        <vt:i4>231</vt:i4>
      </vt:variant>
      <vt:variant>
        <vt:i4>0</vt:i4>
      </vt:variant>
      <vt:variant>
        <vt:i4>5</vt:i4>
      </vt:variant>
      <vt:variant>
        <vt:lpwstr/>
      </vt:variant>
      <vt:variant>
        <vt:lpwstr>TableofContents</vt:lpwstr>
      </vt:variant>
      <vt:variant>
        <vt:i4>8257632</vt:i4>
      </vt:variant>
      <vt:variant>
        <vt:i4>228</vt:i4>
      </vt:variant>
      <vt:variant>
        <vt:i4>0</vt:i4>
      </vt:variant>
      <vt:variant>
        <vt:i4>5</vt:i4>
      </vt:variant>
      <vt:variant>
        <vt:lpwstr/>
      </vt:variant>
      <vt:variant>
        <vt:lpwstr>TableofContents</vt:lpwstr>
      </vt:variant>
      <vt:variant>
        <vt:i4>8257632</vt:i4>
      </vt:variant>
      <vt:variant>
        <vt:i4>225</vt:i4>
      </vt:variant>
      <vt:variant>
        <vt:i4>0</vt:i4>
      </vt:variant>
      <vt:variant>
        <vt:i4>5</vt:i4>
      </vt:variant>
      <vt:variant>
        <vt:lpwstr/>
      </vt:variant>
      <vt:variant>
        <vt:lpwstr>TableofContents</vt:lpwstr>
      </vt:variant>
      <vt:variant>
        <vt:i4>8257632</vt:i4>
      </vt:variant>
      <vt:variant>
        <vt:i4>222</vt:i4>
      </vt:variant>
      <vt:variant>
        <vt:i4>0</vt:i4>
      </vt:variant>
      <vt:variant>
        <vt:i4>5</vt:i4>
      </vt:variant>
      <vt:variant>
        <vt:lpwstr/>
      </vt:variant>
      <vt:variant>
        <vt:lpwstr>TableofContents</vt:lpwstr>
      </vt:variant>
      <vt:variant>
        <vt:i4>8257632</vt:i4>
      </vt:variant>
      <vt:variant>
        <vt:i4>219</vt:i4>
      </vt:variant>
      <vt:variant>
        <vt:i4>0</vt:i4>
      </vt:variant>
      <vt:variant>
        <vt:i4>5</vt:i4>
      </vt:variant>
      <vt:variant>
        <vt:lpwstr/>
      </vt:variant>
      <vt:variant>
        <vt:lpwstr>TableofContents</vt:lpwstr>
      </vt:variant>
      <vt:variant>
        <vt:i4>8257632</vt:i4>
      </vt:variant>
      <vt:variant>
        <vt:i4>216</vt:i4>
      </vt:variant>
      <vt:variant>
        <vt:i4>0</vt:i4>
      </vt:variant>
      <vt:variant>
        <vt:i4>5</vt:i4>
      </vt:variant>
      <vt:variant>
        <vt:lpwstr/>
      </vt:variant>
      <vt:variant>
        <vt:lpwstr>TableofContents</vt:lpwstr>
      </vt:variant>
      <vt:variant>
        <vt:i4>8257632</vt:i4>
      </vt:variant>
      <vt:variant>
        <vt:i4>213</vt:i4>
      </vt:variant>
      <vt:variant>
        <vt:i4>0</vt:i4>
      </vt:variant>
      <vt:variant>
        <vt:i4>5</vt:i4>
      </vt:variant>
      <vt:variant>
        <vt:lpwstr/>
      </vt:variant>
      <vt:variant>
        <vt:lpwstr>TableofContents</vt:lpwstr>
      </vt:variant>
      <vt:variant>
        <vt:i4>8257632</vt:i4>
      </vt:variant>
      <vt:variant>
        <vt:i4>210</vt:i4>
      </vt:variant>
      <vt:variant>
        <vt:i4>0</vt:i4>
      </vt:variant>
      <vt:variant>
        <vt:i4>5</vt:i4>
      </vt:variant>
      <vt:variant>
        <vt:lpwstr/>
      </vt:variant>
      <vt:variant>
        <vt:lpwstr>TableofContents</vt:lpwstr>
      </vt:variant>
      <vt:variant>
        <vt:i4>8257632</vt:i4>
      </vt:variant>
      <vt:variant>
        <vt:i4>207</vt:i4>
      </vt:variant>
      <vt:variant>
        <vt:i4>0</vt:i4>
      </vt:variant>
      <vt:variant>
        <vt:i4>5</vt:i4>
      </vt:variant>
      <vt:variant>
        <vt:lpwstr/>
      </vt:variant>
      <vt:variant>
        <vt:lpwstr>TableofContents</vt:lpwstr>
      </vt:variant>
      <vt:variant>
        <vt:i4>8257632</vt:i4>
      </vt:variant>
      <vt:variant>
        <vt:i4>204</vt:i4>
      </vt:variant>
      <vt:variant>
        <vt:i4>0</vt:i4>
      </vt:variant>
      <vt:variant>
        <vt:i4>5</vt:i4>
      </vt:variant>
      <vt:variant>
        <vt:lpwstr/>
      </vt:variant>
      <vt:variant>
        <vt:lpwstr>TableofContents</vt:lpwstr>
      </vt:variant>
      <vt:variant>
        <vt:i4>8257632</vt:i4>
      </vt:variant>
      <vt:variant>
        <vt:i4>201</vt:i4>
      </vt:variant>
      <vt:variant>
        <vt:i4>0</vt:i4>
      </vt:variant>
      <vt:variant>
        <vt:i4>5</vt:i4>
      </vt:variant>
      <vt:variant>
        <vt:lpwstr/>
      </vt:variant>
      <vt:variant>
        <vt:lpwstr>TableofContents</vt:lpwstr>
      </vt:variant>
      <vt:variant>
        <vt:i4>8257632</vt:i4>
      </vt:variant>
      <vt:variant>
        <vt:i4>198</vt:i4>
      </vt:variant>
      <vt:variant>
        <vt:i4>0</vt:i4>
      </vt:variant>
      <vt:variant>
        <vt:i4>5</vt:i4>
      </vt:variant>
      <vt:variant>
        <vt:lpwstr/>
      </vt:variant>
      <vt:variant>
        <vt:lpwstr>TableofContents</vt:lpwstr>
      </vt:variant>
      <vt:variant>
        <vt:i4>8257632</vt:i4>
      </vt:variant>
      <vt:variant>
        <vt:i4>195</vt:i4>
      </vt:variant>
      <vt:variant>
        <vt:i4>0</vt:i4>
      </vt:variant>
      <vt:variant>
        <vt:i4>5</vt:i4>
      </vt:variant>
      <vt:variant>
        <vt:lpwstr/>
      </vt:variant>
      <vt:variant>
        <vt:lpwstr>TableofContents</vt:lpwstr>
      </vt:variant>
      <vt:variant>
        <vt:i4>8257632</vt:i4>
      </vt:variant>
      <vt:variant>
        <vt:i4>192</vt:i4>
      </vt:variant>
      <vt:variant>
        <vt:i4>0</vt:i4>
      </vt:variant>
      <vt:variant>
        <vt:i4>5</vt:i4>
      </vt:variant>
      <vt:variant>
        <vt:lpwstr/>
      </vt:variant>
      <vt:variant>
        <vt:lpwstr>TableofContents</vt:lpwstr>
      </vt:variant>
      <vt:variant>
        <vt:i4>8257632</vt:i4>
      </vt:variant>
      <vt:variant>
        <vt:i4>189</vt:i4>
      </vt:variant>
      <vt:variant>
        <vt:i4>0</vt:i4>
      </vt:variant>
      <vt:variant>
        <vt:i4>5</vt:i4>
      </vt:variant>
      <vt:variant>
        <vt:lpwstr/>
      </vt:variant>
      <vt:variant>
        <vt:lpwstr>TableofContents</vt:lpwstr>
      </vt:variant>
      <vt:variant>
        <vt:i4>8257632</vt:i4>
      </vt:variant>
      <vt:variant>
        <vt:i4>186</vt:i4>
      </vt:variant>
      <vt:variant>
        <vt:i4>0</vt:i4>
      </vt:variant>
      <vt:variant>
        <vt:i4>5</vt:i4>
      </vt:variant>
      <vt:variant>
        <vt:lpwstr/>
      </vt:variant>
      <vt:variant>
        <vt:lpwstr>TableofContents</vt:lpwstr>
      </vt:variant>
      <vt:variant>
        <vt:i4>8257632</vt:i4>
      </vt:variant>
      <vt:variant>
        <vt:i4>183</vt:i4>
      </vt:variant>
      <vt:variant>
        <vt:i4>0</vt:i4>
      </vt:variant>
      <vt:variant>
        <vt:i4>5</vt:i4>
      </vt:variant>
      <vt:variant>
        <vt:lpwstr/>
      </vt:variant>
      <vt:variant>
        <vt:lpwstr>TableofContents</vt:lpwstr>
      </vt:variant>
      <vt:variant>
        <vt:i4>8257632</vt:i4>
      </vt:variant>
      <vt:variant>
        <vt:i4>180</vt:i4>
      </vt:variant>
      <vt:variant>
        <vt:i4>0</vt:i4>
      </vt:variant>
      <vt:variant>
        <vt:i4>5</vt:i4>
      </vt:variant>
      <vt:variant>
        <vt:lpwstr/>
      </vt:variant>
      <vt:variant>
        <vt:lpwstr>TableofContents</vt:lpwstr>
      </vt:variant>
      <vt:variant>
        <vt:i4>8257632</vt:i4>
      </vt:variant>
      <vt:variant>
        <vt:i4>177</vt:i4>
      </vt:variant>
      <vt:variant>
        <vt:i4>0</vt:i4>
      </vt:variant>
      <vt:variant>
        <vt:i4>5</vt:i4>
      </vt:variant>
      <vt:variant>
        <vt:lpwstr/>
      </vt:variant>
      <vt:variant>
        <vt:lpwstr>TableofContents</vt:lpwstr>
      </vt:variant>
      <vt:variant>
        <vt:i4>8257632</vt:i4>
      </vt:variant>
      <vt:variant>
        <vt:i4>174</vt:i4>
      </vt:variant>
      <vt:variant>
        <vt:i4>0</vt:i4>
      </vt:variant>
      <vt:variant>
        <vt:i4>5</vt:i4>
      </vt:variant>
      <vt:variant>
        <vt:lpwstr/>
      </vt:variant>
      <vt:variant>
        <vt:lpwstr>TableofContents</vt:lpwstr>
      </vt:variant>
      <vt:variant>
        <vt:i4>8257632</vt:i4>
      </vt:variant>
      <vt:variant>
        <vt:i4>171</vt:i4>
      </vt:variant>
      <vt:variant>
        <vt:i4>0</vt:i4>
      </vt:variant>
      <vt:variant>
        <vt:i4>5</vt:i4>
      </vt:variant>
      <vt:variant>
        <vt:lpwstr/>
      </vt:variant>
      <vt:variant>
        <vt:lpwstr>TableofContents</vt:lpwstr>
      </vt:variant>
      <vt:variant>
        <vt:i4>8257632</vt:i4>
      </vt:variant>
      <vt:variant>
        <vt:i4>168</vt:i4>
      </vt:variant>
      <vt:variant>
        <vt:i4>0</vt:i4>
      </vt:variant>
      <vt:variant>
        <vt:i4>5</vt:i4>
      </vt:variant>
      <vt:variant>
        <vt:lpwstr/>
      </vt:variant>
      <vt:variant>
        <vt:lpwstr>TableofContents</vt:lpwstr>
      </vt:variant>
      <vt:variant>
        <vt:i4>8257632</vt:i4>
      </vt:variant>
      <vt:variant>
        <vt:i4>165</vt:i4>
      </vt:variant>
      <vt:variant>
        <vt:i4>0</vt:i4>
      </vt:variant>
      <vt:variant>
        <vt:i4>5</vt:i4>
      </vt:variant>
      <vt:variant>
        <vt:lpwstr/>
      </vt:variant>
      <vt:variant>
        <vt:lpwstr>TableofContents</vt:lpwstr>
      </vt:variant>
      <vt:variant>
        <vt:i4>8257632</vt:i4>
      </vt:variant>
      <vt:variant>
        <vt:i4>162</vt:i4>
      </vt:variant>
      <vt:variant>
        <vt:i4>0</vt:i4>
      </vt:variant>
      <vt:variant>
        <vt:i4>5</vt:i4>
      </vt:variant>
      <vt:variant>
        <vt:lpwstr/>
      </vt:variant>
      <vt:variant>
        <vt:lpwstr>TableofContents</vt:lpwstr>
      </vt:variant>
      <vt:variant>
        <vt:i4>8257632</vt:i4>
      </vt:variant>
      <vt:variant>
        <vt:i4>159</vt:i4>
      </vt:variant>
      <vt:variant>
        <vt:i4>0</vt:i4>
      </vt:variant>
      <vt:variant>
        <vt:i4>5</vt:i4>
      </vt:variant>
      <vt:variant>
        <vt:lpwstr/>
      </vt:variant>
      <vt:variant>
        <vt:lpwstr>TableofContents</vt:lpwstr>
      </vt:variant>
      <vt:variant>
        <vt:i4>8257632</vt:i4>
      </vt:variant>
      <vt:variant>
        <vt:i4>156</vt:i4>
      </vt:variant>
      <vt:variant>
        <vt:i4>0</vt:i4>
      </vt:variant>
      <vt:variant>
        <vt:i4>5</vt:i4>
      </vt:variant>
      <vt:variant>
        <vt:lpwstr/>
      </vt:variant>
      <vt:variant>
        <vt:lpwstr>TableofContents</vt:lpwstr>
      </vt:variant>
      <vt:variant>
        <vt:i4>8257632</vt:i4>
      </vt:variant>
      <vt:variant>
        <vt:i4>153</vt:i4>
      </vt:variant>
      <vt:variant>
        <vt:i4>0</vt:i4>
      </vt:variant>
      <vt:variant>
        <vt:i4>5</vt:i4>
      </vt:variant>
      <vt:variant>
        <vt:lpwstr/>
      </vt:variant>
      <vt:variant>
        <vt:lpwstr>TableofContents</vt:lpwstr>
      </vt:variant>
      <vt:variant>
        <vt:i4>8257632</vt:i4>
      </vt:variant>
      <vt:variant>
        <vt:i4>150</vt:i4>
      </vt:variant>
      <vt:variant>
        <vt:i4>0</vt:i4>
      </vt:variant>
      <vt:variant>
        <vt:i4>5</vt:i4>
      </vt:variant>
      <vt:variant>
        <vt:lpwstr/>
      </vt:variant>
      <vt:variant>
        <vt:lpwstr>TableofContents</vt:lpwstr>
      </vt:variant>
      <vt:variant>
        <vt:i4>8257632</vt:i4>
      </vt:variant>
      <vt:variant>
        <vt:i4>147</vt:i4>
      </vt:variant>
      <vt:variant>
        <vt:i4>0</vt:i4>
      </vt:variant>
      <vt:variant>
        <vt:i4>5</vt:i4>
      </vt:variant>
      <vt:variant>
        <vt:lpwstr/>
      </vt:variant>
      <vt:variant>
        <vt:lpwstr>TableofContents</vt:lpwstr>
      </vt:variant>
      <vt:variant>
        <vt:i4>8257632</vt:i4>
      </vt:variant>
      <vt:variant>
        <vt:i4>144</vt:i4>
      </vt:variant>
      <vt:variant>
        <vt:i4>0</vt:i4>
      </vt:variant>
      <vt:variant>
        <vt:i4>5</vt:i4>
      </vt:variant>
      <vt:variant>
        <vt:lpwstr/>
      </vt:variant>
      <vt:variant>
        <vt:lpwstr>TableofContents</vt:lpwstr>
      </vt:variant>
      <vt:variant>
        <vt:i4>8257632</vt:i4>
      </vt:variant>
      <vt:variant>
        <vt:i4>141</vt:i4>
      </vt:variant>
      <vt:variant>
        <vt:i4>0</vt:i4>
      </vt:variant>
      <vt:variant>
        <vt:i4>5</vt:i4>
      </vt:variant>
      <vt:variant>
        <vt:lpwstr/>
      </vt:variant>
      <vt:variant>
        <vt:lpwstr>TableofContents</vt:lpwstr>
      </vt:variant>
      <vt:variant>
        <vt:i4>8257632</vt:i4>
      </vt:variant>
      <vt:variant>
        <vt:i4>138</vt:i4>
      </vt:variant>
      <vt:variant>
        <vt:i4>0</vt:i4>
      </vt:variant>
      <vt:variant>
        <vt:i4>5</vt:i4>
      </vt:variant>
      <vt:variant>
        <vt:lpwstr/>
      </vt:variant>
      <vt:variant>
        <vt:lpwstr>TableofContents</vt:lpwstr>
      </vt:variant>
      <vt:variant>
        <vt:i4>8257632</vt:i4>
      </vt:variant>
      <vt:variant>
        <vt:i4>135</vt:i4>
      </vt:variant>
      <vt:variant>
        <vt:i4>0</vt:i4>
      </vt:variant>
      <vt:variant>
        <vt:i4>5</vt:i4>
      </vt:variant>
      <vt:variant>
        <vt:lpwstr/>
      </vt:variant>
      <vt:variant>
        <vt:lpwstr>TableofContents</vt:lpwstr>
      </vt:variant>
      <vt:variant>
        <vt:i4>8257632</vt:i4>
      </vt:variant>
      <vt:variant>
        <vt:i4>132</vt:i4>
      </vt:variant>
      <vt:variant>
        <vt:i4>0</vt:i4>
      </vt:variant>
      <vt:variant>
        <vt:i4>5</vt:i4>
      </vt:variant>
      <vt:variant>
        <vt:lpwstr/>
      </vt:variant>
      <vt:variant>
        <vt:lpwstr>TableofContents</vt:lpwstr>
      </vt:variant>
      <vt:variant>
        <vt:i4>8257632</vt:i4>
      </vt:variant>
      <vt:variant>
        <vt:i4>129</vt:i4>
      </vt:variant>
      <vt:variant>
        <vt:i4>0</vt:i4>
      </vt:variant>
      <vt:variant>
        <vt:i4>5</vt:i4>
      </vt:variant>
      <vt:variant>
        <vt:lpwstr/>
      </vt:variant>
      <vt:variant>
        <vt:lpwstr>TableofContents</vt:lpwstr>
      </vt:variant>
      <vt:variant>
        <vt:i4>8257632</vt:i4>
      </vt:variant>
      <vt:variant>
        <vt:i4>126</vt:i4>
      </vt:variant>
      <vt:variant>
        <vt:i4>0</vt:i4>
      </vt:variant>
      <vt:variant>
        <vt:i4>5</vt:i4>
      </vt:variant>
      <vt:variant>
        <vt:lpwstr/>
      </vt:variant>
      <vt:variant>
        <vt:lpwstr>TableofContents</vt:lpwstr>
      </vt:variant>
      <vt:variant>
        <vt:i4>8257632</vt:i4>
      </vt:variant>
      <vt:variant>
        <vt:i4>123</vt:i4>
      </vt:variant>
      <vt:variant>
        <vt:i4>0</vt:i4>
      </vt:variant>
      <vt:variant>
        <vt:i4>5</vt:i4>
      </vt:variant>
      <vt:variant>
        <vt:lpwstr/>
      </vt:variant>
      <vt:variant>
        <vt:lpwstr>TableofContents</vt:lpwstr>
      </vt:variant>
      <vt:variant>
        <vt:i4>8257632</vt:i4>
      </vt:variant>
      <vt:variant>
        <vt:i4>120</vt:i4>
      </vt:variant>
      <vt:variant>
        <vt:i4>0</vt:i4>
      </vt:variant>
      <vt:variant>
        <vt:i4>5</vt:i4>
      </vt:variant>
      <vt:variant>
        <vt:lpwstr/>
      </vt:variant>
      <vt:variant>
        <vt:lpwstr>TableofContents</vt:lpwstr>
      </vt:variant>
      <vt:variant>
        <vt:i4>8257632</vt:i4>
      </vt:variant>
      <vt:variant>
        <vt:i4>117</vt:i4>
      </vt:variant>
      <vt:variant>
        <vt:i4>0</vt:i4>
      </vt:variant>
      <vt:variant>
        <vt:i4>5</vt:i4>
      </vt:variant>
      <vt:variant>
        <vt:lpwstr/>
      </vt:variant>
      <vt:variant>
        <vt:lpwstr>TableofContents</vt:lpwstr>
      </vt:variant>
      <vt:variant>
        <vt:i4>8257632</vt:i4>
      </vt:variant>
      <vt:variant>
        <vt:i4>114</vt:i4>
      </vt:variant>
      <vt:variant>
        <vt:i4>0</vt:i4>
      </vt:variant>
      <vt:variant>
        <vt:i4>5</vt:i4>
      </vt:variant>
      <vt:variant>
        <vt:lpwstr/>
      </vt:variant>
      <vt:variant>
        <vt:lpwstr>TableofContents</vt:lpwstr>
      </vt:variant>
      <vt:variant>
        <vt:i4>8257632</vt:i4>
      </vt:variant>
      <vt:variant>
        <vt:i4>111</vt:i4>
      </vt:variant>
      <vt:variant>
        <vt:i4>0</vt:i4>
      </vt:variant>
      <vt:variant>
        <vt:i4>5</vt:i4>
      </vt:variant>
      <vt:variant>
        <vt:lpwstr/>
      </vt:variant>
      <vt:variant>
        <vt:lpwstr>TableofContents</vt:lpwstr>
      </vt:variant>
      <vt:variant>
        <vt:i4>8257632</vt:i4>
      </vt:variant>
      <vt:variant>
        <vt:i4>108</vt:i4>
      </vt:variant>
      <vt:variant>
        <vt:i4>0</vt:i4>
      </vt:variant>
      <vt:variant>
        <vt:i4>5</vt:i4>
      </vt:variant>
      <vt:variant>
        <vt:lpwstr/>
      </vt:variant>
      <vt:variant>
        <vt:lpwstr>TableofContents</vt:lpwstr>
      </vt:variant>
      <vt:variant>
        <vt:i4>8257632</vt:i4>
      </vt:variant>
      <vt:variant>
        <vt:i4>105</vt:i4>
      </vt:variant>
      <vt:variant>
        <vt:i4>0</vt:i4>
      </vt:variant>
      <vt:variant>
        <vt:i4>5</vt:i4>
      </vt:variant>
      <vt:variant>
        <vt:lpwstr/>
      </vt:variant>
      <vt:variant>
        <vt:lpwstr>TableofContents</vt:lpwstr>
      </vt:variant>
      <vt:variant>
        <vt:i4>8257632</vt:i4>
      </vt:variant>
      <vt:variant>
        <vt:i4>102</vt:i4>
      </vt:variant>
      <vt:variant>
        <vt:i4>0</vt:i4>
      </vt:variant>
      <vt:variant>
        <vt:i4>5</vt:i4>
      </vt:variant>
      <vt:variant>
        <vt:lpwstr/>
      </vt:variant>
      <vt:variant>
        <vt:lpwstr>TableofContents</vt:lpwstr>
      </vt:variant>
      <vt:variant>
        <vt:i4>8257632</vt:i4>
      </vt:variant>
      <vt:variant>
        <vt:i4>99</vt:i4>
      </vt:variant>
      <vt:variant>
        <vt:i4>0</vt:i4>
      </vt:variant>
      <vt:variant>
        <vt:i4>5</vt:i4>
      </vt:variant>
      <vt:variant>
        <vt:lpwstr/>
      </vt:variant>
      <vt:variant>
        <vt:lpwstr>TableofContents</vt:lpwstr>
      </vt:variant>
      <vt:variant>
        <vt:i4>8257632</vt:i4>
      </vt:variant>
      <vt:variant>
        <vt:i4>96</vt:i4>
      </vt:variant>
      <vt:variant>
        <vt:i4>0</vt:i4>
      </vt:variant>
      <vt:variant>
        <vt:i4>5</vt:i4>
      </vt:variant>
      <vt:variant>
        <vt:lpwstr/>
      </vt:variant>
      <vt:variant>
        <vt:lpwstr>TableofContents</vt:lpwstr>
      </vt:variant>
      <vt:variant>
        <vt:i4>8257632</vt:i4>
      </vt:variant>
      <vt:variant>
        <vt:i4>93</vt:i4>
      </vt:variant>
      <vt:variant>
        <vt:i4>0</vt:i4>
      </vt:variant>
      <vt:variant>
        <vt:i4>5</vt:i4>
      </vt:variant>
      <vt:variant>
        <vt:lpwstr/>
      </vt:variant>
      <vt:variant>
        <vt:lpwstr>TableofContents</vt:lpwstr>
      </vt:variant>
      <vt:variant>
        <vt:i4>8257632</vt:i4>
      </vt:variant>
      <vt:variant>
        <vt:i4>90</vt:i4>
      </vt:variant>
      <vt:variant>
        <vt:i4>0</vt:i4>
      </vt:variant>
      <vt:variant>
        <vt:i4>5</vt:i4>
      </vt:variant>
      <vt:variant>
        <vt:lpwstr/>
      </vt:variant>
      <vt:variant>
        <vt:lpwstr>TableofContents</vt:lpwstr>
      </vt:variant>
      <vt:variant>
        <vt:i4>8257632</vt:i4>
      </vt:variant>
      <vt:variant>
        <vt:i4>87</vt:i4>
      </vt:variant>
      <vt:variant>
        <vt:i4>0</vt:i4>
      </vt:variant>
      <vt:variant>
        <vt:i4>5</vt:i4>
      </vt:variant>
      <vt:variant>
        <vt:lpwstr/>
      </vt:variant>
      <vt:variant>
        <vt:lpwstr>TableofContents</vt:lpwstr>
      </vt:variant>
      <vt:variant>
        <vt:i4>8257632</vt:i4>
      </vt:variant>
      <vt:variant>
        <vt:i4>84</vt:i4>
      </vt:variant>
      <vt:variant>
        <vt:i4>0</vt:i4>
      </vt:variant>
      <vt:variant>
        <vt:i4>5</vt:i4>
      </vt:variant>
      <vt:variant>
        <vt:lpwstr/>
      </vt:variant>
      <vt:variant>
        <vt:lpwstr>TableofContents</vt:lpwstr>
      </vt:variant>
      <vt:variant>
        <vt:i4>8257632</vt:i4>
      </vt:variant>
      <vt:variant>
        <vt:i4>81</vt:i4>
      </vt:variant>
      <vt:variant>
        <vt:i4>0</vt:i4>
      </vt:variant>
      <vt:variant>
        <vt:i4>5</vt:i4>
      </vt:variant>
      <vt:variant>
        <vt:lpwstr/>
      </vt:variant>
      <vt:variant>
        <vt:lpwstr>TableofContents</vt:lpwstr>
      </vt:variant>
      <vt:variant>
        <vt:i4>8257632</vt:i4>
      </vt:variant>
      <vt:variant>
        <vt:i4>78</vt:i4>
      </vt:variant>
      <vt:variant>
        <vt:i4>0</vt:i4>
      </vt:variant>
      <vt:variant>
        <vt:i4>5</vt:i4>
      </vt:variant>
      <vt:variant>
        <vt:lpwstr/>
      </vt:variant>
      <vt:variant>
        <vt:lpwstr>TableofContents</vt:lpwstr>
      </vt:variant>
      <vt:variant>
        <vt:i4>1900557</vt:i4>
      </vt:variant>
      <vt:variant>
        <vt:i4>75</vt:i4>
      </vt:variant>
      <vt:variant>
        <vt:i4>0</vt:i4>
      </vt:variant>
      <vt:variant>
        <vt:i4>5</vt:i4>
      </vt:variant>
      <vt:variant>
        <vt:lpwstr/>
      </vt:variant>
      <vt:variant>
        <vt:lpwstr>OralAbstracts</vt:lpwstr>
      </vt:variant>
      <vt:variant>
        <vt:i4>1900557</vt:i4>
      </vt:variant>
      <vt:variant>
        <vt:i4>72</vt:i4>
      </vt:variant>
      <vt:variant>
        <vt:i4>0</vt:i4>
      </vt:variant>
      <vt:variant>
        <vt:i4>5</vt:i4>
      </vt:variant>
      <vt:variant>
        <vt:lpwstr/>
      </vt:variant>
      <vt:variant>
        <vt:lpwstr>OralAbstracts</vt:lpwstr>
      </vt:variant>
      <vt:variant>
        <vt:i4>1900557</vt:i4>
      </vt:variant>
      <vt:variant>
        <vt:i4>69</vt:i4>
      </vt:variant>
      <vt:variant>
        <vt:i4>0</vt:i4>
      </vt:variant>
      <vt:variant>
        <vt:i4>5</vt:i4>
      </vt:variant>
      <vt:variant>
        <vt:lpwstr/>
      </vt:variant>
      <vt:variant>
        <vt:lpwstr>OralAbstracts</vt:lpwstr>
      </vt:variant>
      <vt:variant>
        <vt:i4>983042</vt:i4>
      </vt:variant>
      <vt:variant>
        <vt:i4>66</vt:i4>
      </vt:variant>
      <vt:variant>
        <vt:i4>0</vt:i4>
      </vt:variant>
      <vt:variant>
        <vt:i4>5</vt:i4>
      </vt:variant>
      <vt:variant>
        <vt:lpwstr/>
      </vt:variant>
      <vt:variant>
        <vt:lpwstr>Campusmapparking</vt:lpwstr>
      </vt:variant>
      <vt:variant>
        <vt:i4>1966110</vt:i4>
      </vt:variant>
      <vt:variant>
        <vt:i4>63</vt:i4>
      </vt:variant>
      <vt:variant>
        <vt:i4>0</vt:i4>
      </vt:variant>
      <vt:variant>
        <vt:i4>5</vt:i4>
      </vt:variant>
      <vt:variant>
        <vt:lpwstr/>
      </vt:variant>
      <vt:variant>
        <vt:lpwstr>KOBCFloorPlan</vt:lpwstr>
      </vt:variant>
      <vt:variant>
        <vt:i4>1179668</vt:i4>
      </vt:variant>
      <vt:variant>
        <vt:i4>60</vt:i4>
      </vt:variant>
      <vt:variant>
        <vt:i4>0</vt:i4>
      </vt:variant>
      <vt:variant>
        <vt:i4>5</vt:i4>
      </vt:variant>
      <vt:variant>
        <vt:lpwstr/>
      </vt:variant>
      <vt:variant>
        <vt:lpwstr>OralPresentationMthStatCS</vt:lpwstr>
      </vt:variant>
      <vt:variant>
        <vt:i4>4980758</vt:i4>
      </vt:variant>
      <vt:variant>
        <vt:i4>57</vt:i4>
      </vt:variant>
      <vt:variant>
        <vt:i4>0</vt:i4>
      </vt:variant>
      <vt:variant>
        <vt:i4>5</vt:i4>
      </vt:variant>
      <vt:variant>
        <vt:lpwstr/>
      </vt:variant>
      <vt:variant>
        <vt:lpwstr>OralPresentationBotZooEcoEnvSci2</vt:lpwstr>
      </vt:variant>
      <vt:variant>
        <vt:i4>3801214</vt:i4>
      </vt:variant>
      <vt:variant>
        <vt:i4>54</vt:i4>
      </vt:variant>
      <vt:variant>
        <vt:i4>0</vt:i4>
      </vt:variant>
      <vt:variant>
        <vt:i4>5</vt:i4>
      </vt:variant>
      <vt:variant>
        <vt:lpwstr/>
      </vt:variant>
      <vt:variant>
        <vt:lpwstr>OralPresentationMicroCellMolecBio2</vt:lpwstr>
      </vt:variant>
      <vt:variant>
        <vt:i4>7471216</vt:i4>
      </vt:variant>
      <vt:variant>
        <vt:i4>51</vt:i4>
      </vt:variant>
      <vt:variant>
        <vt:i4>0</vt:i4>
      </vt:variant>
      <vt:variant>
        <vt:i4>5</vt:i4>
      </vt:variant>
      <vt:variant>
        <vt:lpwstr/>
      </vt:variant>
      <vt:variant>
        <vt:lpwstr>OralPresentationPhysBiotech</vt:lpwstr>
      </vt:variant>
      <vt:variant>
        <vt:i4>6553726</vt:i4>
      </vt:variant>
      <vt:variant>
        <vt:i4>48</vt:i4>
      </vt:variant>
      <vt:variant>
        <vt:i4>0</vt:i4>
      </vt:variant>
      <vt:variant>
        <vt:i4>5</vt:i4>
      </vt:variant>
      <vt:variant>
        <vt:lpwstr/>
      </vt:variant>
      <vt:variant>
        <vt:lpwstr>OralPresentationChmBiochmSciEd</vt:lpwstr>
      </vt:variant>
      <vt:variant>
        <vt:i4>8257663</vt:i4>
      </vt:variant>
      <vt:variant>
        <vt:i4>45</vt:i4>
      </vt:variant>
      <vt:variant>
        <vt:i4>0</vt:i4>
      </vt:variant>
      <vt:variant>
        <vt:i4>5</vt:i4>
      </vt:variant>
      <vt:variant>
        <vt:lpwstr/>
      </vt:variant>
      <vt:variant>
        <vt:lpwstr>OralPresentationBotZooEcoEnvSci</vt:lpwstr>
      </vt:variant>
      <vt:variant>
        <vt:i4>6357107</vt:i4>
      </vt:variant>
      <vt:variant>
        <vt:i4>42</vt:i4>
      </vt:variant>
      <vt:variant>
        <vt:i4>0</vt:i4>
      </vt:variant>
      <vt:variant>
        <vt:i4>5</vt:i4>
      </vt:variant>
      <vt:variant>
        <vt:lpwstr/>
      </vt:variant>
      <vt:variant>
        <vt:lpwstr>OralPresentationMicroCellMolec1</vt:lpwstr>
      </vt:variant>
      <vt:variant>
        <vt:i4>1507345</vt:i4>
      </vt:variant>
      <vt:variant>
        <vt:i4>39</vt:i4>
      </vt:variant>
      <vt:variant>
        <vt:i4>0</vt:i4>
      </vt:variant>
      <vt:variant>
        <vt:i4>5</vt:i4>
      </vt:variant>
      <vt:variant>
        <vt:lpwstr/>
      </vt:variant>
      <vt:variant>
        <vt:lpwstr>OralPresentations</vt:lpwstr>
      </vt:variant>
      <vt:variant>
        <vt:i4>7536742</vt:i4>
      </vt:variant>
      <vt:variant>
        <vt:i4>36</vt:i4>
      </vt:variant>
      <vt:variant>
        <vt:i4>0</vt:i4>
      </vt:variant>
      <vt:variant>
        <vt:i4>5</vt:i4>
      </vt:variant>
      <vt:variant>
        <vt:lpwstr/>
      </vt:variant>
      <vt:variant>
        <vt:lpwstr>PosterPresentationPhyAstEng</vt:lpwstr>
      </vt:variant>
      <vt:variant>
        <vt:i4>1048607</vt:i4>
      </vt:variant>
      <vt:variant>
        <vt:i4>33</vt:i4>
      </vt:variant>
      <vt:variant>
        <vt:i4>0</vt:i4>
      </vt:variant>
      <vt:variant>
        <vt:i4>5</vt:i4>
      </vt:variant>
      <vt:variant>
        <vt:lpwstr/>
      </vt:variant>
      <vt:variant>
        <vt:lpwstr>PosterPresentationMicroCellMolecPhysBiot</vt:lpwstr>
      </vt:variant>
      <vt:variant>
        <vt:i4>7143549</vt:i4>
      </vt:variant>
      <vt:variant>
        <vt:i4>30</vt:i4>
      </vt:variant>
      <vt:variant>
        <vt:i4>0</vt:i4>
      </vt:variant>
      <vt:variant>
        <vt:i4>5</vt:i4>
      </vt:variant>
      <vt:variant>
        <vt:lpwstr/>
      </vt:variant>
      <vt:variant>
        <vt:lpwstr>PosterPresentationChmBiochm</vt:lpwstr>
      </vt:variant>
      <vt:variant>
        <vt:i4>1703936</vt:i4>
      </vt:variant>
      <vt:variant>
        <vt:i4>27</vt:i4>
      </vt:variant>
      <vt:variant>
        <vt:i4>0</vt:i4>
      </vt:variant>
      <vt:variant>
        <vt:i4>5</vt:i4>
      </vt:variant>
      <vt:variant>
        <vt:lpwstr/>
      </vt:variant>
      <vt:variant>
        <vt:lpwstr>PosterPresentationBotZoo</vt:lpwstr>
      </vt:variant>
      <vt:variant>
        <vt:i4>6291577</vt:i4>
      </vt:variant>
      <vt:variant>
        <vt:i4>24</vt:i4>
      </vt:variant>
      <vt:variant>
        <vt:i4>0</vt:i4>
      </vt:variant>
      <vt:variant>
        <vt:i4>5</vt:i4>
      </vt:variant>
      <vt:variant>
        <vt:lpwstr/>
      </vt:variant>
      <vt:variant>
        <vt:lpwstr>PosterPresentations</vt:lpwstr>
      </vt:variant>
      <vt:variant>
        <vt:i4>7471210</vt:i4>
      </vt:variant>
      <vt:variant>
        <vt:i4>21</vt:i4>
      </vt:variant>
      <vt:variant>
        <vt:i4>0</vt:i4>
      </vt:variant>
      <vt:variant>
        <vt:i4>5</vt:i4>
      </vt:variant>
      <vt:variant>
        <vt:lpwstr/>
      </vt:variant>
      <vt:variant>
        <vt:lpwstr>CareerPanel</vt:lpwstr>
      </vt:variant>
      <vt:variant>
        <vt:i4>1966089</vt:i4>
      </vt:variant>
      <vt:variant>
        <vt:i4>18</vt:i4>
      </vt:variant>
      <vt:variant>
        <vt:i4>0</vt:i4>
      </vt:variant>
      <vt:variant>
        <vt:i4>5</vt:i4>
      </vt:variant>
      <vt:variant>
        <vt:lpwstr/>
      </vt:variant>
      <vt:variant>
        <vt:lpwstr>DataAnalWorkshop</vt:lpwstr>
      </vt:variant>
      <vt:variant>
        <vt:i4>1835024</vt:i4>
      </vt:variant>
      <vt:variant>
        <vt:i4>15</vt:i4>
      </vt:variant>
      <vt:variant>
        <vt:i4>0</vt:i4>
      </vt:variant>
      <vt:variant>
        <vt:i4>5</vt:i4>
      </vt:variant>
      <vt:variant>
        <vt:lpwstr/>
      </vt:variant>
      <vt:variant>
        <vt:lpwstr>SandAworkshop</vt:lpwstr>
      </vt:variant>
      <vt:variant>
        <vt:i4>8257646</vt:i4>
      </vt:variant>
      <vt:variant>
        <vt:i4>12</vt:i4>
      </vt:variant>
      <vt:variant>
        <vt:i4>0</vt:i4>
      </vt:variant>
      <vt:variant>
        <vt:i4>5</vt:i4>
      </vt:variant>
      <vt:variant>
        <vt:lpwstr/>
      </vt:variant>
      <vt:variant>
        <vt:lpwstr>ConAftWork</vt:lpwstr>
      </vt:variant>
      <vt:variant>
        <vt:i4>1376259</vt:i4>
      </vt:variant>
      <vt:variant>
        <vt:i4>9</vt:i4>
      </vt:variant>
      <vt:variant>
        <vt:i4>0</vt:i4>
      </vt:variant>
      <vt:variant>
        <vt:i4>5</vt:i4>
      </vt:variant>
      <vt:variant>
        <vt:lpwstr/>
      </vt:variant>
      <vt:variant>
        <vt:lpwstr>ResumeTuneup</vt:lpwstr>
      </vt:variant>
      <vt:variant>
        <vt:i4>8323197</vt:i4>
      </vt:variant>
      <vt:variant>
        <vt:i4>6</vt:i4>
      </vt:variant>
      <vt:variant>
        <vt:i4>0</vt:i4>
      </vt:variant>
      <vt:variant>
        <vt:i4>5</vt:i4>
      </vt:variant>
      <vt:variant>
        <vt:lpwstr/>
      </vt:variant>
      <vt:variant>
        <vt:lpwstr>Keynote</vt:lpwstr>
      </vt:variant>
      <vt:variant>
        <vt:i4>1179654</vt:i4>
      </vt:variant>
      <vt:variant>
        <vt:i4>3</vt:i4>
      </vt:variant>
      <vt:variant>
        <vt:i4>0</vt:i4>
      </vt:variant>
      <vt:variant>
        <vt:i4>5</vt:i4>
      </vt:variant>
      <vt:variant>
        <vt:lpwstr/>
      </vt:variant>
      <vt:variant>
        <vt:lpwstr>AaGs</vt:lpwstr>
      </vt:variant>
      <vt:variant>
        <vt:i4>7078007</vt:i4>
      </vt:variant>
      <vt:variant>
        <vt:i4>0</vt:i4>
      </vt:variant>
      <vt:variant>
        <vt:i4>0</vt:i4>
      </vt:variant>
      <vt:variant>
        <vt:i4>5</vt:i4>
      </vt:variant>
      <vt:variant>
        <vt:lpwstr/>
      </vt:variant>
      <vt:variant>
        <vt:lpwstr>WL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Kingston</dc:creator>
  <cp:keywords/>
  <dc:description/>
  <cp:lastModifiedBy>Mike Kingston</cp:lastModifiedBy>
  <cp:revision>17</cp:revision>
  <cp:lastPrinted>2026-03-11T18:21:00Z</cp:lastPrinted>
  <dcterms:created xsi:type="dcterms:W3CDTF">2026-04-20T19:37:00Z</dcterms:created>
  <dcterms:modified xsi:type="dcterms:W3CDTF">2026-04-20T20:02:00Z</dcterms:modified>
</cp:coreProperties>
</file>