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1FF4" w14:textId="77777777" w:rsidR="003A1FE2" w:rsidRDefault="003A1FE2" w:rsidP="00916B36">
      <w:pPr>
        <w:tabs>
          <w:tab w:val="left" w:pos="1170"/>
          <w:tab w:val="left" w:pos="9990"/>
        </w:tabs>
        <w:ind w:right="324"/>
        <w:jc w:val="center"/>
        <w:rPr>
          <w:szCs w:val="24"/>
        </w:rPr>
      </w:pPr>
      <w:r w:rsidRPr="003A1FE2">
        <w:rPr>
          <w:noProof/>
        </w:rPr>
        <w:drawing>
          <wp:inline distT="0" distB="0" distL="0" distR="0" wp14:anchorId="01AF2FB2" wp14:editId="38C5753D">
            <wp:extent cx="2752725" cy="1000125"/>
            <wp:effectExtent l="0" t="0" r="9525" b="9525"/>
            <wp:docPr id="1" name="Picture 1" descr="elon-signature-primary-maroon-gold-blk-rgb-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on-signature-primary-maroon-gold-blk-rgb-72dp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4A8E9" w14:textId="77777777" w:rsidR="003A1FE2" w:rsidRDefault="003A1FE2" w:rsidP="00916B36">
      <w:pPr>
        <w:tabs>
          <w:tab w:val="left" w:pos="1170"/>
          <w:tab w:val="left" w:pos="9990"/>
        </w:tabs>
        <w:ind w:right="324"/>
        <w:jc w:val="center"/>
        <w:rPr>
          <w:szCs w:val="24"/>
        </w:rPr>
      </w:pPr>
    </w:p>
    <w:p w14:paraId="1EC0C13F" w14:textId="3665BFDB" w:rsidR="00916B36" w:rsidRPr="00D87D36" w:rsidRDefault="00916B36" w:rsidP="00916B36">
      <w:pPr>
        <w:tabs>
          <w:tab w:val="left" w:pos="1170"/>
          <w:tab w:val="left" w:pos="9990"/>
        </w:tabs>
        <w:ind w:right="324"/>
        <w:jc w:val="center"/>
        <w:rPr>
          <w:szCs w:val="24"/>
        </w:rPr>
      </w:pPr>
    </w:p>
    <w:p w14:paraId="63C2561E" w14:textId="77777777" w:rsidR="00916B36" w:rsidRPr="00D87D36" w:rsidRDefault="00916B36" w:rsidP="00916B36">
      <w:pPr>
        <w:tabs>
          <w:tab w:val="left" w:pos="1170"/>
          <w:tab w:val="left" w:pos="9990"/>
        </w:tabs>
        <w:ind w:right="324"/>
        <w:jc w:val="center"/>
        <w:rPr>
          <w:szCs w:val="24"/>
        </w:rPr>
      </w:pPr>
    </w:p>
    <w:p w14:paraId="316E9AA3" w14:textId="77777777" w:rsidR="00916B36" w:rsidRPr="00D87D36" w:rsidRDefault="00916B36" w:rsidP="00916B36">
      <w:pPr>
        <w:tabs>
          <w:tab w:val="left" w:pos="1170"/>
          <w:tab w:val="left" w:pos="9990"/>
        </w:tabs>
        <w:ind w:right="324"/>
        <w:jc w:val="both"/>
        <w:rPr>
          <w:szCs w:val="24"/>
        </w:rPr>
      </w:pPr>
      <w:r w:rsidRPr="00D87D36">
        <w:rPr>
          <w:szCs w:val="24"/>
        </w:rPr>
        <w:t>To:</w:t>
      </w:r>
      <w:r w:rsidRPr="00D87D36">
        <w:rPr>
          <w:szCs w:val="24"/>
        </w:rPr>
        <w:tab/>
        <w:t>Participants in Elon University Health Insurance Plans</w:t>
      </w:r>
    </w:p>
    <w:p w14:paraId="7B2F1B9B" w14:textId="77777777" w:rsidR="00916B36" w:rsidRPr="00D87D36" w:rsidRDefault="00916B36" w:rsidP="00916B36">
      <w:pPr>
        <w:tabs>
          <w:tab w:val="left" w:pos="1170"/>
          <w:tab w:val="left" w:pos="9990"/>
        </w:tabs>
        <w:ind w:right="324"/>
        <w:jc w:val="both"/>
        <w:rPr>
          <w:szCs w:val="24"/>
        </w:rPr>
      </w:pPr>
    </w:p>
    <w:p w14:paraId="5942F295" w14:textId="736AD48C" w:rsidR="00916B36" w:rsidRPr="00D87D36" w:rsidRDefault="00916B36" w:rsidP="00C34314">
      <w:pPr>
        <w:tabs>
          <w:tab w:val="left" w:pos="1170"/>
          <w:tab w:val="left" w:pos="9990"/>
        </w:tabs>
        <w:ind w:right="324"/>
        <w:jc w:val="both"/>
        <w:rPr>
          <w:i/>
          <w:szCs w:val="24"/>
        </w:rPr>
      </w:pPr>
      <w:r w:rsidRPr="00D87D36">
        <w:rPr>
          <w:szCs w:val="24"/>
        </w:rPr>
        <w:t>From:</w:t>
      </w:r>
      <w:r w:rsidRPr="00D87D36">
        <w:rPr>
          <w:szCs w:val="24"/>
        </w:rPr>
        <w:tab/>
      </w:r>
      <w:r w:rsidR="004C688B">
        <w:rPr>
          <w:szCs w:val="24"/>
        </w:rPr>
        <w:t>Kelli Shuman, Assoc VP for HR/Chief Human Resources Officer</w:t>
      </w:r>
      <w:r w:rsidR="00700D67">
        <w:rPr>
          <w:szCs w:val="24"/>
        </w:rPr>
        <w:t xml:space="preserve"> </w:t>
      </w:r>
    </w:p>
    <w:p w14:paraId="78611FE8" w14:textId="77777777" w:rsidR="00916B36" w:rsidRPr="00D87D36" w:rsidRDefault="00916B36" w:rsidP="00916B36">
      <w:pPr>
        <w:tabs>
          <w:tab w:val="left" w:pos="1170"/>
          <w:tab w:val="left" w:pos="9990"/>
        </w:tabs>
        <w:ind w:right="324"/>
        <w:jc w:val="both"/>
        <w:rPr>
          <w:szCs w:val="24"/>
        </w:rPr>
      </w:pPr>
      <w:r w:rsidRPr="00D87D36">
        <w:rPr>
          <w:szCs w:val="24"/>
        </w:rPr>
        <w:tab/>
      </w:r>
    </w:p>
    <w:p w14:paraId="4112090F" w14:textId="19BBE9C6" w:rsidR="00916B36" w:rsidRPr="00D87D36" w:rsidRDefault="00916B36" w:rsidP="00916B36">
      <w:pPr>
        <w:tabs>
          <w:tab w:val="left" w:pos="1170"/>
          <w:tab w:val="left" w:pos="9990"/>
        </w:tabs>
        <w:ind w:right="324"/>
        <w:jc w:val="both"/>
        <w:rPr>
          <w:szCs w:val="24"/>
        </w:rPr>
      </w:pPr>
      <w:r w:rsidRPr="00D87D36">
        <w:rPr>
          <w:szCs w:val="24"/>
        </w:rPr>
        <w:t>Re:</w:t>
      </w:r>
      <w:r w:rsidRPr="00D87D36">
        <w:rPr>
          <w:szCs w:val="24"/>
        </w:rPr>
        <w:tab/>
        <w:t xml:space="preserve">Changes in Health Insurance Plans for </w:t>
      </w:r>
      <w:r w:rsidR="00071FB4">
        <w:rPr>
          <w:szCs w:val="24"/>
        </w:rPr>
        <w:t>202</w:t>
      </w:r>
      <w:r w:rsidR="00380146">
        <w:rPr>
          <w:szCs w:val="24"/>
        </w:rPr>
        <w:t>3</w:t>
      </w:r>
    </w:p>
    <w:p w14:paraId="6BF24F00" w14:textId="77777777" w:rsidR="00916B36" w:rsidRPr="00D87D36" w:rsidRDefault="00916B36" w:rsidP="00916B36">
      <w:pPr>
        <w:tabs>
          <w:tab w:val="left" w:pos="1170"/>
          <w:tab w:val="left" w:pos="9990"/>
        </w:tabs>
        <w:ind w:right="324"/>
        <w:jc w:val="both"/>
        <w:rPr>
          <w:szCs w:val="24"/>
        </w:rPr>
      </w:pPr>
    </w:p>
    <w:p w14:paraId="49CDA8F0" w14:textId="401C8C85" w:rsidR="00916B36" w:rsidRPr="00D87D36" w:rsidRDefault="00916B36" w:rsidP="00916B36">
      <w:r w:rsidRPr="00075416">
        <w:rPr>
          <w:szCs w:val="24"/>
        </w:rPr>
        <w:t xml:space="preserve">Elon University continues </w:t>
      </w:r>
      <w:r w:rsidRPr="00075416">
        <w:t xml:space="preserve">to offer comprehensive and </w:t>
      </w:r>
      <w:r w:rsidR="00115D91" w:rsidRPr="00075416">
        <w:t xml:space="preserve">competitive </w:t>
      </w:r>
      <w:r w:rsidRPr="00075416">
        <w:t xml:space="preserve">benefits to </w:t>
      </w:r>
      <w:r w:rsidR="003B594A">
        <w:t>support</w:t>
      </w:r>
      <w:r w:rsidR="003B594A" w:rsidRPr="00075416">
        <w:t xml:space="preserve"> </w:t>
      </w:r>
      <w:r w:rsidRPr="00075416">
        <w:t xml:space="preserve">your family’s physical, financial and emotional well-being. </w:t>
      </w:r>
      <w:r w:rsidR="00A2123B" w:rsidRPr="00075416">
        <w:t xml:space="preserve"> </w:t>
      </w:r>
      <w:r w:rsidR="00075416">
        <w:t>W</w:t>
      </w:r>
      <w:r w:rsidR="00685CFB" w:rsidRPr="00075416">
        <w:t xml:space="preserve">e know that robust health insurance benefits </w:t>
      </w:r>
      <w:r w:rsidR="00075416">
        <w:t>continue to be</w:t>
      </w:r>
      <w:r w:rsidR="00685CFB" w:rsidRPr="00075416">
        <w:t xml:space="preserve"> </w:t>
      </w:r>
      <w:r w:rsidR="004C303A" w:rsidRPr="00075416">
        <w:t xml:space="preserve">a </w:t>
      </w:r>
      <w:r w:rsidR="00685CFB" w:rsidRPr="00075416">
        <w:t>primary concern for our community</w:t>
      </w:r>
      <w:r w:rsidR="004C688B" w:rsidRPr="00075416">
        <w:t>, particularly during these challenging times</w:t>
      </w:r>
      <w:r w:rsidR="00685CFB" w:rsidRPr="00075416">
        <w:t xml:space="preserve">.  </w:t>
      </w:r>
      <w:r w:rsidR="00075416">
        <w:t>T</w:t>
      </w:r>
      <w:r w:rsidRPr="00075416">
        <w:t xml:space="preserve">he cost of healthcare </w:t>
      </w:r>
      <w:r w:rsidR="00075416">
        <w:t xml:space="preserve">continues to </w:t>
      </w:r>
      <w:r w:rsidRPr="00075416">
        <w:t>increase steadily</w:t>
      </w:r>
      <w:r w:rsidR="00971BE8" w:rsidRPr="00075416">
        <w:t xml:space="preserve">, </w:t>
      </w:r>
      <w:r w:rsidR="00075416">
        <w:t>particularly post COVID</w:t>
      </w:r>
      <w:r w:rsidR="00902176">
        <w:t>,</w:t>
      </w:r>
      <w:r w:rsidR="00075416">
        <w:t xml:space="preserve"> and we expect healthcare to continue to rise</w:t>
      </w:r>
      <w:r w:rsidR="00971BE8" w:rsidRPr="00075416">
        <w:t xml:space="preserve"> at a rate higher than</w:t>
      </w:r>
      <w:r w:rsidR="00894CE2" w:rsidRPr="00075416">
        <w:t xml:space="preserve"> the </w:t>
      </w:r>
      <w:r w:rsidR="00971BE8" w:rsidRPr="00075416">
        <w:t xml:space="preserve">national inflation index. </w:t>
      </w:r>
      <w:r w:rsidRPr="00075416">
        <w:t xml:space="preserve"> Pharmacy costs, especially</w:t>
      </w:r>
      <w:r w:rsidR="00075416">
        <w:t xml:space="preserve"> with higher cost </w:t>
      </w:r>
      <w:r w:rsidR="005F4C0F">
        <w:t>s</w:t>
      </w:r>
      <w:r w:rsidR="00075416">
        <w:t>pecialty drugs</w:t>
      </w:r>
      <w:r w:rsidRPr="00075416">
        <w:t xml:space="preserve">, </w:t>
      </w:r>
      <w:r w:rsidR="00075416">
        <w:t xml:space="preserve">have </w:t>
      </w:r>
      <w:r w:rsidRPr="00075416">
        <w:t xml:space="preserve">increased </w:t>
      </w:r>
      <w:r w:rsidR="00971BE8" w:rsidRPr="00075416">
        <w:t xml:space="preserve">dramatically </w:t>
      </w:r>
      <w:r w:rsidRPr="00075416">
        <w:t>over the past</w:t>
      </w:r>
      <w:r w:rsidR="00844935" w:rsidRPr="00075416">
        <w:t xml:space="preserve"> few years</w:t>
      </w:r>
      <w:r w:rsidRPr="00075416">
        <w:t xml:space="preserve"> and this trend </w:t>
      </w:r>
      <w:r w:rsidR="00844935" w:rsidRPr="00075416">
        <w:t>will</w:t>
      </w:r>
      <w:r w:rsidRPr="00075416">
        <w:t xml:space="preserve"> continue.</w:t>
      </w:r>
      <w:r w:rsidRPr="00D87D36">
        <w:t xml:space="preserve"> </w:t>
      </w:r>
    </w:p>
    <w:p w14:paraId="71D6D56D" w14:textId="77777777" w:rsidR="00916B36" w:rsidRPr="00D87D36" w:rsidRDefault="00916B36" w:rsidP="00916B36">
      <w:pPr>
        <w:tabs>
          <w:tab w:val="left" w:pos="1170"/>
          <w:tab w:val="left" w:pos="9990"/>
        </w:tabs>
        <w:ind w:right="324"/>
        <w:jc w:val="both"/>
        <w:rPr>
          <w:szCs w:val="24"/>
        </w:rPr>
      </w:pPr>
    </w:p>
    <w:p w14:paraId="59C6B96C" w14:textId="5149B744" w:rsidR="00916B36" w:rsidRPr="00C84DAA" w:rsidRDefault="00916B36" w:rsidP="00916B36">
      <w:pPr>
        <w:tabs>
          <w:tab w:val="left" w:pos="1170"/>
          <w:tab w:val="left" w:pos="9990"/>
        </w:tabs>
        <w:ind w:right="324"/>
        <w:jc w:val="both"/>
        <w:rPr>
          <w:b/>
          <w:szCs w:val="24"/>
          <w:u w:val="single"/>
        </w:rPr>
      </w:pPr>
      <w:r w:rsidRPr="00C84DAA">
        <w:rPr>
          <w:b/>
          <w:szCs w:val="24"/>
          <w:u w:val="single"/>
        </w:rPr>
        <w:t>What is Elon’s Experience?</w:t>
      </w:r>
    </w:p>
    <w:p w14:paraId="37C443C5" w14:textId="77777777" w:rsidR="00916B36" w:rsidRPr="00C84DAA" w:rsidRDefault="00916B36" w:rsidP="00916B36">
      <w:pPr>
        <w:tabs>
          <w:tab w:val="left" w:pos="1170"/>
          <w:tab w:val="left" w:pos="9990"/>
        </w:tabs>
        <w:ind w:right="324"/>
        <w:jc w:val="both"/>
        <w:rPr>
          <w:b/>
          <w:szCs w:val="24"/>
        </w:rPr>
      </w:pPr>
    </w:p>
    <w:p w14:paraId="6CD1C07B" w14:textId="34F45154" w:rsidR="00916B36" w:rsidRPr="00D87D36" w:rsidRDefault="00916B36" w:rsidP="00916B36">
      <w:pPr>
        <w:rPr>
          <w:szCs w:val="24"/>
        </w:rPr>
      </w:pPr>
      <w:r w:rsidRPr="00C73D02">
        <w:rPr>
          <w:szCs w:val="24"/>
        </w:rPr>
        <w:t xml:space="preserve">Elon has continued its commitment </w:t>
      </w:r>
      <w:r w:rsidR="003E7F47" w:rsidRPr="00C73D02">
        <w:rPr>
          <w:szCs w:val="24"/>
        </w:rPr>
        <w:t>to</w:t>
      </w:r>
      <w:r w:rsidRPr="00C73D02">
        <w:rPr>
          <w:szCs w:val="24"/>
        </w:rPr>
        <w:t xml:space="preserve"> providing highly competitive plans for employees and their families. Health care costs are a shared expense by both the employee and the institution. </w:t>
      </w:r>
      <w:r w:rsidR="00071FB4" w:rsidRPr="00C73D02">
        <w:rPr>
          <w:szCs w:val="24"/>
        </w:rPr>
        <w:t xml:space="preserve">Over the years, the University has continued to fund a high percentage of the healthcare expenses and now </w:t>
      </w:r>
      <w:r w:rsidR="00FF630B" w:rsidRPr="00C73D02">
        <w:rPr>
          <w:szCs w:val="24"/>
        </w:rPr>
        <w:t xml:space="preserve">contributes </w:t>
      </w:r>
      <w:r w:rsidR="00071FB4" w:rsidRPr="00C73D02">
        <w:rPr>
          <w:szCs w:val="24"/>
        </w:rPr>
        <w:t>70% of the cost on behalf of our faculty and staff.</w:t>
      </w:r>
      <w:r w:rsidRPr="00C73D02">
        <w:rPr>
          <w:szCs w:val="24"/>
        </w:rPr>
        <w:t xml:space="preserve"> </w:t>
      </w:r>
      <w:r w:rsidR="004C688B" w:rsidRPr="00C73D02">
        <w:rPr>
          <w:szCs w:val="24"/>
        </w:rPr>
        <w:t>Our healthcare costs for 202</w:t>
      </w:r>
      <w:r w:rsidR="00075416" w:rsidRPr="00C73D02">
        <w:rPr>
          <w:szCs w:val="24"/>
        </w:rPr>
        <w:t>3</w:t>
      </w:r>
      <w:r w:rsidR="004C688B" w:rsidRPr="00C73D02">
        <w:rPr>
          <w:szCs w:val="24"/>
        </w:rPr>
        <w:t xml:space="preserve"> are projected to </w:t>
      </w:r>
      <w:r w:rsidR="00763BFF" w:rsidRPr="00C73D02">
        <w:rPr>
          <w:szCs w:val="24"/>
        </w:rPr>
        <w:t xml:space="preserve">be </w:t>
      </w:r>
      <w:r w:rsidR="00C73D02" w:rsidRPr="00C73D02">
        <w:rPr>
          <w:szCs w:val="24"/>
        </w:rPr>
        <w:t>almost</w:t>
      </w:r>
      <w:r w:rsidR="00763BFF" w:rsidRPr="00C73D02">
        <w:rPr>
          <w:szCs w:val="24"/>
        </w:rPr>
        <w:t xml:space="preserve"> $1</w:t>
      </w:r>
      <w:r w:rsidR="00C73D02" w:rsidRPr="00C73D02">
        <w:rPr>
          <w:szCs w:val="24"/>
        </w:rPr>
        <w:t>9</w:t>
      </w:r>
      <w:r w:rsidR="00763BFF" w:rsidRPr="00C73D02">
        <w:rPr>
          <w:szCs w:val="24"/>
        </w:rPr>
        <w:t>MM with the University’s increase in 202</w:t>
      </w:r>
      <w:r w:rsidR="00C73D02" w:rsidRPr="00C73D02">
        <w:rPr>
          <w:szCs w:val="24"/>
        </w:rPr>
        <w:t>3</w:t>
      </w:r>
      <w:r w:rsidR="00763BFF" w:rsidRPr="00C73D02">
        <w:rPr>
          <w:szCs w:val="24"/>
        </w:rPr>
        <w:t xml:space="preserve"> expected to be approximately $</w:t>
      </w:r>
      <w:r w:rsidR="00071FB4" w:rsidRPr="00C73D02">
        <w:rPr>
          <w:szCs w:val="24"/>
        </w:rPr>
        <w:t>1MM</w:t>
      </w:r>
      <w:r w:rsidR="00763BFF" w:rsidRPr="00C73D02">
        <w:rPr>
          <w:szCs w:val="24"/>
        </w:rPr>
        <w:t>.</w:t>
      </w:r>
    </w:p>
    <w:p w14:paraId="176F78A7" w14:textId="466085A2" w:rsidR="00A2123B" w:rsidRDefault="00243118" w:rsidP="00916B36">
      <w:pPr>
        <w:rPr>
          <w:szCs w:val="24"/>
        </w:rPr>
      </w:pPr>
      <w:r>
        <w:rPr>
          <w:szCs w:val="24"/>
        </w:rPr>
        <w:t xml:space="preserve"> </w:t>
      </w:r>
    </w:p>
    <w:p w14:paraId="4C6BDC82" w14:textId="0C8E1FE9" w:rsidR="00916B36" w:rsidRPr="00D87D36" w:rsidRDefault="00603120" w:rsidP="00916B36">
      <w:pPr>
        <w:tabs>
          <w:tab w:val="left" w:pos="1170"/>
          <w:tab w:val="left" w:pos="9990"/>
        </w:tabs>
        <w:ind w:right="324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What are the changes for 202</w:t>
      </w:r>
      <w:r w:rsidR="00380146">
        <w:rPr>
          <w:b/>
          <w:szCs w:val="24"/>
          <w:u w:val="single"/>
        </w:rPr>
        <w:t>3</w:t>
      </w:r>
      <w:r w:rsidR="00916B36" w:rsidRPr="00D87D36">
        <w:rPr>
          <w:b/>
          <w:szCs w:val="24"/>
          <w:u w:val="single"/>
        </w:rPr>
        <w:t>?</w:t>
      </w:r>
    </w:p>
    <w:p w14:paraId="60F747F5" w14:textId="77777777" w:rsidR="00916B36" w:rsidRDefault="00916B36" w:rsidP="00916B36">
      <w:pPr>
        <w:tabs>
          <w:tab w:val="left" w:pos="1170"/>
          <w:tab w:val="left" w:pos="9990"/>
        </w:tabs>
        <w:ind w:right="324"/>
        <w:jc w:val="both"/>
        <w:rPr>
          <w:b/>
          <w:szCs w:val="24"/>
          <w:u w:val="single"/>
        </w:rPr>
      </w:pPr>
    </w:p>
    <w:p w14:paraId="09906EF4" w14:textId="420CB41E" w:rsidR="00603120" w:rsidRPr="00603120" w:rsidRDefault="00763BFF" w:rsidP="002679F4">
      <w:pPr>
        <w:tabs>
          <w:tab w:val="left" w:pos="1170"/>
          <w:tab w:val="left" w:pos="9990"/>
        </w:tabs>
        <w:ind w:right="324"/>
        <w:rPr>
          <w:szCs w:val="24"/>
        </w:rPr>
      </w:pPr>
      <w:r>
        <w:rPr>
          <w:szCs w:val="24"/>
        </w:rPr>
        <w:t>Despite the</w:t>
      </w:r>
      <w:r w:rsidR="00844935">
        <w:rPr>
          <w:szCs w:val="24"/>
        </w:rPr>
        <w:t>se</w:t>
      </w:r>
      <w:r>
        <w:rPr>
          <w:szCs w:val="24"/>
        </w:rPr>
        <w:t xml:space="preserve"> projected increase</w:t>
      </w:r>
      <w:r w:rsidR="00844935">
        <w:rPr>
          <w:szCs w:val="24"/>
        </w:rPr>
        <w:t>s for</w:t>
      </w:r>
      <w:r>
        <w:rPr>
          <w:szCs w:val="24"/>
        </w:rPr>
        <w:t xml:space="preserve"> </w:t>
      </w:r>
      <w:r w:rsidR="00071FB4">
        <w:rPr>
          <w:szCs w:val="24"/>
        </w:rPr>
        <w:t>202</w:t>
      </w:r>
      <w:r w:rsidR="00380146">
        <w:rPr>
          <w:szCs w:val="24"/>
        </w:rPr>
        <w:t>3</w:t>
      </w:r>
      <w:r>
        <w:rPr>
          <w:szCs w:val="24"/>
        </w:rPr>
        <w:t xml:space="preserve">, the </w:t>
      </w:r>
      <w:r w:rsidR="005F20E3">
        <w:rPr>
          <w:szCs w:val="24"/>
        </w:rPr>
        <w:t>U</w:t>
      </w:r>
      <w:r w:rsidR="00F83174">
        <w:rPr>
          <w:szCs w:val="24"/>
        </w:rPr>
        <w:t>niversity</w:t>
      </w:r>
      <w:r>
        <w:rPr>
          <w:szCs w:val="24"/>
        </w:rPr>
        <w:t xml:space="preserve"> </w:t>
      </w:r>
      <w:r w:rsidR="00C73D02">
        <w:rPr>
          <w:szCs w:val="24"/>
        </w:rPr>
        <w:t>will continue to maintain the same plan designs for 2023 except for a slight change in Plan C due to IRS regulations</w:t>
      </w:r>
      <w:r w:rsidR="00071FB4">
        <w:rPr>
          <w:szCs w:val="24"/>
        </w:rPr>
        <w:t>.</w:t>
      </w:r>
      <w:r>
        <w:rPr>
          <w:szCs w:val="24"/>
        </w:rPr>
        <w:t xml:space="preserve"> </w:t>
      </w:r>
      <w:r w:rsidR="002679F4">
        <w:rPr>
          <w:szCs w:val="24"/>
        </w:rPr>
        <w:t xml:space="preserve">While we will need to increase contributions slightly to keep up with the healthcare increases, we are always looking for benefit enhancements to continue to meet </w:t>
      </w:r>
      <w:r w:rsidR="003B594A">
        <w:rPr>
          <w:szCs w:val="24"/>
        </w:rPr>
        <w:t xml:space="preserve">the needs of </w:t>
      </w:r>
      <w:r w:rsidR="002679F4">
        <w:rPr>
          <w:szCs w:val="24"/>
        </w:rPr>
        <w:t xml:space="preserve">our employees and their </w:t>
      </w:r>
      <w:r w:rsidR="003B594A">
        <w:rPr>
          <w:szCs w:val="24"/>
        </w:rPr>
        <w:t>families</w:t>
      </w:r>
      <w:r w:rsidR="002679F4">
        <w:rPr>
          <w:szCs w:val="24"/>
        </w:rPr>
        <w:t xml:space="preserve">. </w:t>
      </w:r>
      <w:r w:rsidR="00FF630B">
        <w:rPr>
          <w:szCs w:val="24"/>
        </w:rPr>
        <w:t>Therefore, b</w:t>
      </w:r>
      <w:r w:rsidR="002679F4">
        <w:rPr>
          <w:szCs w:val="24"/>
        </w:rPr>
        <w:t>eginning January</w:t>
      </w:r>
      <w:r w:rsidR="005F20E3">
        <w:rPr>
          <w:szCs w:val="24"/>
        </w:rPr>
        <w:t xml:space="preserve"> 1</w:t>
      </w:r>
      <w:r w:rsidR="005F20E3" w:rsidRPr="005F20E3">
        <w:rPr>
          <w:szCs w:val="24"/>
          <w:vertAlign w:val="superscript"/>
        </w:rPr>
        <w:t>st</w:t>
      </w:r>
      <w:r w:rsidR="005F20E3">
        <w:rPr>
          <w:szCs w:val="24"/>
        </w:rPr>
        <w:t>,</w:t>
      </w:r>
      <w:r w:rsidR="002679F4">
        <w:rPr>
          <w:szCs w:val="24"/>
        </w:rPr>
        <w:t xml:space="preserve"> </w:t>
      </w:r>
      <w:r w:rsidR="00C73D02">
        <w:rPr>
          <w:szCs w:val="24"/>
        </w:rPr>
        <w:t xml:space="preserve">the University will be </w:t>
      </w:r>
      <w:r w:rsidR="00FB234C">
        <w:rPr>
          <w:szCs w:val="24"/>
        </w:rPr>
        <w:t xml:space="preserve">making </w:t>
      </w:r>
      <w:r w:rsidR="00380146">
        <w:rPr>
          <w:szCs w:val="24"/>
        </w:rPr>
        <w:t>enhancements to</w:t>
      </w:r>
      <w:r w:rsidR="00FF630B">
        <w:rPr>
          <w:szCs w:val="24"/>
        </w:rPr>
        <w:t xml:space="preserve"> the </w:t>
      </w:r>
      <w:r w:rsidR="00C73D02">
        <w:rPr>
          <w:szCs w:val="24"/>
        </w:rPr>
        <w:t>current health</w:t>
      </w:r>
      <w:r w:rsidR="00FF630B">
        <w:rPr>
          <w:szCs w:val="24"/>
        </w:rPr>
        <w:t xml:space="preserve"> plan</w:t>
      </w:r>
      <w:r w:rsidR="00FB234C">
        <w:rPr>
          <w:szCs w:val="24"/>
        </w:rPr>
        <w:t xml:space="preserve"> </w:t>
      </w:r>
      <w:r w:rsidR="003B594A">
        <w:rPr>
          <w:szCs w:val="24"/>
        </w:rPr>
        <w:t>as</w:t>
      </w:r>
      <w:r w:rsidR="00FB234C">
        <w:rPr>
          <w:szCs w:val="24"/>
        </w:rPr>
        <w:t xml:space="preserve"> shown on the next page</w:t>
      </w:r>
      <w:r w:rsidR="00E0476F">
        <w:rPr>
          <w:szCs w:val="24"/>
        </w:rPr>
        <w:t xml:space="preserve">. </w:t>
      </w:r>
    </w:p>
    <w:p w14:paraId="0DF11829" w14:textId="5C364BFC" w:rsidR="00F60B05" w:rsidRDefault="00F60B05" w:rsidP="00916B36">
      <w:pPr>
        <w:tabs>
          <w:tab w:val="left" w:pos="1170"/>
          <w:tab w:val="left" w:pos="9990"/>
        </w:tabs>
        <w:ind w:right="324"/>
        <w:jc w:val="both"/>
        <w:rPr>
          <w:b/>
          <w:bCs/>
          <w:szCs w:val="24"/>
          <w:u w:val="single"/>
        </w:rPr>
      </w:pPr>
    </w:p>
    <w:p w14:paraId="2A0DE800" w14:textId="728A1F97" w:rsidR="00FB234C" w:rsidRDefault="00FB234C" w:rsidP="00916B36">
      <w:pPr>
        <w:tabs>
          <w:tab w:val="left" w:pos="1170"/>
          <w:tab w:val="left" w:pos="9990"/>
        </w:tabs>
        <w:ind w:right="324"/>
        <w:jc w:val="both"/>
        <w:rPr>
          <w:b/>
          <w:bCs/>
          <w:szCs w:val="24"/>
          <w:u w:val="single"/>
        </w:rPr>
      </w:pPr>
    </w:p>
    <w:p w14:paraId="37EACAA8" w14:textId="456D70F6" w:rsidR="00FB234C" w:rsidRDefault="00FB234C" w:rsidP="00916B36">
      <w:pPr>
        <w:tabs>
          <w:tab w:val="left" w:pos="1170"/>
          <w:tab w:val="left" w:pos="9990"/>
        </w:tabs>
        <w:ind w:right="324"/>
        <w:jc w:val="both"/>
        <w:rPr>
          <w:b/>
          <w:bCs/>
          <w:szCs w:val="24"/>
          <w:u w:val="single"/>
        </w:rPr>
      </w:pPr>
    </w:p>
    <w:p w14:paraId="129376B8" w14:textId="3E3E3328" w:rsidR="00FB234C" w:rsidRDefault="00FB234C" w:rsidP="00916B36">
      <w:pPr>
        <w:tabs>
          <w:tab w:val="left" w:pos="1170"/>
          <w:tab w:val="left" w:pos="9990"/>
        </w:tabs>
        <w:ind w:right="324"/>
        <w:jc w:val="both"/>
        <w:rPr>
          <w:b/>
          <w:bCs/>
          <w:szCs w:val="24"/>
          <w:u w:val="single"/>
        </w:rPr>
      </w:pPr>
    </w:p>
    <w:p w14:paraId="733D55DA" w14:textId="1313819C" w:rsidR="00FB234C" w:rsidRDefault="00FB234C" w:rsidP="00916B36">
      <w:pPr>
        <w:tabs>
          <w:tab w:val="left" w:pos="1170"/>
          <w:tab w:val="left" w:pos="9990"/>
        </w:tabs>
        <w:ind w:right="324"/>
        <w:jc w:val="both"/>
        <w:rPr>
          <w:b/>
          <w:bCs/>
          <w:szCs w:val="24"/>
          <w:u w:val="single"/>
        </w:rPr>
      </w:pPr>
    </w:p>
    <w:p w14:paraId="6E60096C" w14:textId="75566692" w:rsidR="00FB234C" w:rsidRDefault="00FB234C" w:rsidP="00916B36">
      <w:pPr>
        <w:tabs>
          <w:tab w:val="left" w:pos="1170"/>
          <w:tab w:val="left" w:pos="9990"/>
        </w:tabs>
        <w:ind w:right="324"/>
        <w:jc w:val="both"/>
        <w:rPr>
          <w:b/>
          <w:bCs/>
          <w:szCs w:val="24"/>
          <w:u w:val="single"/>
        </w:rPr>
      </w:pPr>
    </w:p>
    <w:p w14:paraId="0EA9F670" w14:textId="77777777" w:rsidR="00FB234C" w:rsidRPr="00380146" w:rsidRDefault="00FB234C" w:rsidP="00916B36">
      <w:pPr>
        <w:tabs>
          <w:tab w:val="left" w:pos="1170"/>
          <w:tab w:val="left" w:pos="9990"/>
        </w:tabs>
        <w:ind w:right="324"/>
        <w:jc w:val="both"/>
        <w:rPr>
          <w:b/>
          <w:bCs/>
          <w:szCs w:val="24"/>
          <w:u w:val="single"/>
        </w:rPr>
      </w:pPr>
    </w:p>
    <w:p w14:paraId="02775C1F" w14:textId="27F798BD" w:rsidR="00380146" w:rsidRPr="00380146" w:rsidRDefault="00C84DAA" w:rsidP="00380146">
      <w:pPr>
        <w:ind w:right="324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Telemedicine</w:t>
      </w:r>
      <w:r w:rsidR="00380146" w:rsidRPr="00380146">
        <w:rPr>
          <w:b/>
          <w:bCs/>
          <w:szCs w:val="24"/>
        </w:rPr>
        <w:t xml:space="preserve"> through Teladoc</w:t>
      </w:r>
    </w:p>
    <w:p w14:paraId="21BD628B" w14:textId="6A7C5EDA" w:rsidR="00C84DAA" w:rsidRPr="00C73D02" w:rsidRDefault="00380146" w:rsidP="00380146">
      <w:pPr>
        <w:ind w:right="324"/>
        <w:jc w:val="both"/>
        <w:rPr>
          <w:color w:val="FF0000"/>
          <w:szCs w:val="24"/>
        </w:rPr>
      </w:pPr>
      <w:r w:rsidRPr="00380146">
        <w:rPr>
          <w:szCs w:val="24"/>
        </w:rPr>
        <w:t xml:space="preserve">Virtual visits for Acute Care &amp; Behavioral Health </w:t>
      </w:r>
      <w:r>
        <w:rPr>
          <w:szCs w:val="24"/>
        </w:rPr>
        <w:t>will be available</w:t>
      </w:r>
      <w:r w:rsidR="00C73D02">
        <w:rPr>
          <w:szCs w:val="24"/>
        </w:rPr>
        <w:t xml:space="preserve"> as part of the health plan </w:t>
      </w:r>
      <w:r>
        <w:rPr>
          <w:szCs w:val="24"/>
        </w:rPr>
        <w:t>through Tela</w:t>
      </w:r>
      <w:r w:rsidRPr="00FB234C">
        <w:rPr>
          <w:szCs w:val="24"/>
        </w:rPr>
        <w:t>doc</w:t>
      </w:r>
      <w:r w:rsidR="00C84DAA" w:rsidRPr="00FB234C">
        <w:rPr>
          <w:szCs w:val="24"/>
        </w:rPr>
        <w:t xml:space="preserve"> at a low cost</w:t>
      </w:r>
      <w:r w:rsidRPr="00FB234C">
        <w:rPr>
          <w:szCs w:val="24"/>
        </w:rPr>
        <w:t xml:space="preserve"> to those enrolled on the medical plan. </w:t>
      </w:r>
      <w:r w:rsidR="00FB234C" w:rsidRPr="00FB234C">
        <w:rPr>
          <w:szCs w:val="24"/>
        </w:rPr>
        <w:t>Be on the lookout for more information</w:t>
      </w:r>
      <w:r w:rsidR="00ED022E" w:rsidRPr="00FB234C">
        <w:rPr>
          <w:szCs w:val="24"/>
        </w:rPr>
        <w:t xml:space="preserve"> following the start of the year with instructions on how to register for Teladoc. </w:t>
      </w:r>
    </w:p>
    <w:p w14:paraId="03629BE0" w14:textId="7902A262" w:rsidR="00C84DAA" w:rsidRDefault="00C84DAA" w:rsidP="00380146">
      <w:pPr>
        <w:ind w:right="324"/>
        <w:jc w:val="both"/>
        <w:rPr>
          <w:szCs w:val="24"/>
        </w:rPr>
      </w:pPr>
    </w:p>
    <w:p w14:paraId="6304D3D3" w14:textId="08409B91" w:rsidR="00C84DAA" w:rsidRPr="00C84DAA" w:rsidRDefault="00C84DAA" w:rsidP="00C84DAA">
      <w:pPr>
        <w:tabs>
          <w:tab w:val="left" w:pos="1170"/>
          <w:tab w:val="left" w:pos="9990"/>
        </w:tabs>
        <w:ind w:right="324"/>
        <w:rPr>
          <w:bCs/>
          <w:szCs w:val="24"/>
        </w:rPr>
      </w:pPr>
      <w:r w:rsidRPr="00C84DAA">
        <w:rPr>
          <w:bCs/>
          <w:szCs w:val="24"/>
        </w:rPr>
        <w:t xml:space="preserve">Plan A:   </w:t>
      </w:r>
      <w:r>
        <w:rPr>
          <w:bCs/>
          <w:szCs w:val="24"/>
        </w:rPr>
        <w:t xml:space="preserve">$15 copay </w:t>
      </w:r>
    </w:p>
    <w:p w14:paraId="4B3F3645" w14:textId="562CAFA1" w:rsidR="00C84DAA" w:rsidRPr="00C84DAA" w:rsidRDefault="00C84DAA" w:rsidP="00C84DAA">
      <w:pPr>
        <w:tabs>
          <w:tab w:val="left" w:pos="1170"/>
          <w:tab w:val="left" w:pos="9990"/>
        </w:tabs>
        <w:ind w:right="324"/>
        <w:rPr>
          <w:bCs/>
          <w:szCs w:val="24"/>
        </w:rPr>
      </w:pPr>
      <w:r w:rsidRPr="00C84DAA">
        <w:rPr>
          <w:bCs/>
          <w:szCs w:val="24"/>
        </w:rPr>
        <w:t xml:space="preserve">Plan B:   </w:t>
      </w:r>
      <w:r>
        <w:rPr>
          <w:bCs/>
          <w:szCs w:val="24"/>
        </w:rPr>
        <w:t>$10 copay</w:t>
      </w:r>
      <w:r w:rsidRPr="00C84DAA">
        <w:rPr>
          <w:bCs/>
          <w:szCs w:val="24"/>
        </w:rPr>
        <w:t xml:space="preserve"> </w:t>
      </w:r>
    </w:p>
    <w:p w14:paraId="5311CF21" w14:textId="4AB635D5" w:rsidR="00C84DAA" w:rsidRPr="00C84DAA" w:rsidRDefault="00C84DAA" w:rsidP="00C84DAA">
      <w:pPr>
        <w:tabs>
          <w:tab w:val="left" w:pos="1170"/>
          <w:tab w:val="left" w:pos="9990"/>
        </w:tabs>
        <w:ind w:right="324"/>
        <w:rPr>
          <w:bCs/>
          <w:szCs w:val="24"/>
        </w:rPr>
      </w:pPr>
      <w:r w:rsidRPr="00C84DAA">
        <w:rPr>
          <w:bCs/>
          <w:szCs w:val="24"/>
        </w:rPr>
        <w:t xml:space="preserve">Plan C:   </w:t>
      </w:r>
      <w:r>
        <w:rPr>
          <w:bCs/>
          <w:szCs w:val="24"/>
        </w:rPr>
        <w:t xml:space="preserve">Covered at 70% after deductible </w:t>
      </w:r>
    </w:p>
    <w:p w14:paraId="751C8AC6" w14:textId="77777777" w:rsidR="00C84DAA" w:rsidRPr="00380146" w:rsidRDefault="00C84DAA" w:rsidP="00380146">
      <w:pPr>
        <w:ind w:right="324"/>
        <w:jc w:val="both"/>
        <w:rPr>
          <w:szCs w:val="24"/>
        </w:rPr>
      </w:pPr>
    </w:p>
    <w:p w14:paraId="1ED1DADC" w14:textId="77777777" w:rsidR="00380146" w:rsidRPr="00380146" w:rsidRDefault="00380146" w:rsidP="00380146">
      <w:pPr>
        <w:ind w:right="324"/>
        <w:jc w:val="both"/>
        <w:rPr>
          <w:b/>
          <w:bCs/>
          <w:szCs w:val="24"/>
        </w:rPr>
      </w:pPr>
      <w:r w:rsidRPr="00380146">
        <w:rPr>
          <w:b/>
          <w:bCs/>
          <w:szCs w:val="24"/>
        </w:rPr>
        <w:t>Chronic Condition Management Program through Livongo</w:t>
      </w:r>
    </w:p>
    <w:p w14:paraId="73C5E423" w14:textId="703FFDD0" w:rsidR="00380146" w:rsidRPr="00380146" w:rsidRDefault="003A08E6" w:rsidP="00380146">
      <w:pPr>
        <w:ind w:right="324"/>
        <w:jc w:val="both"/>
        <w:rPr>
          <w:szCs w:val="24"/>
        </w:rPr>
      </w:pPr>
      <w:r>
        <w:rPr>
          <w:szCs w:val="24"/>
        </w:rPr>
        <w:t>The L</w:t>
      </w:r>
      <w:r w:rsidR="00CE5380" w:rsidRPr="003A08E6">
        <w:rPr>
          <w:szCs w:val="24"/>
        </w:rPr>
        <w:t xml:space="preserve">ivongo </w:t>
      </w:r>
      <w:r w:rsidRPr="003A08E6">
        <w:rPr>
          <w:szCs w:val="24"/>
        </w:rPr>
        <w:t xml:space="preserve">Pre-Diabetes, Diabetes, and Cardiovascular </w:t>
      </w:r>
      <w:r w:rsidR="00CE5380" w:rsidRPr="003A08E6">
        <w:rPr>
          <w:szCs w:val="24"/>
        </w:rPr>
        <w:t>program</w:t>
      </w:r>
      <w:r>
        <w:rPr>
          <w:szCs w:val="24"/>
        </w:rPr>
        <w:t xml:space="preserve"> is</w:t>
      </w:r>
      <w:r w:rsidR="00CE5380" w:rsidRPr="003A08E6">
        <w:rPr>
          <w:szCs w:val="24"/>
        </w:rPr>
        <w:t xml:space="preserve"> available to individuals </w:t>
      </w:r>
      <w:r w:rsidRPr="003A08E6">
        <w:rPr>
          <w:szCs w:val="24"/>
        </w:rPr>
        <w:t xml:space="preserve">on the medical plan </w:t>
      </w:r>
      <w:r w:rsidR="00C84DAA" w:rsidRPr="003A08E6">
        <w:rPr>
          <w:szCs w:val="24"/>
        </w:rPr>
        <w:t>who are ready to make positive lifestyle changes</w:t>
      </w:r>
      <w:r w:rsidRPr="003A08E6">
        <w:rPr>
          <w:szCs w:val="24"/>
        </w:rPr>
        <w:t xml:space="preserve">. If deemed eligible, </w:t>
      </w:r>
      <w:r>
        <w:rPr>
          <w:szCs w:val="24"/>
        </w:rPr>
        <w:t xml:space="preserve">you will be outreached to by Livongo with the opportunity to participate in this no cost program! </w:t>
      </w:r>
      <w:r w:rsidRPr="003A08E6">
        <w:rPr>
          <w:szCs w:val="24"/>
        </w:rPr>
        <w:t>We highly encourage your participation if you are ready to make positive changes and address your condition.</w:t>
      </w:r>
    </w:p>
    <w:p w14:paraId="512F0E15" w14:textId="153C29ED" w:rsidR="00380146" w:rsidRPr="00380146" w:rsidRDefault="00380146" w:rsidP="00916B36">
      <w:pPr>
        <w:tabs>
          <w:tab w:val="left" w:pos="1170"/>
          <w:tab w:val="left" w:pos="9990"/>
        </w:tabs>
        <w:ind w:right="324"/>
        <w:jc w:val="both"/>
        <w:rPr>
          <w:b/>
          <w:bCs/>
          <w:szCs w:val="24"/>
          <w:u w:val="single"/>
        </w:rPr>
      </w:pPr>
    </w:p>
    <w:p w14:paraId="40212AF6" w14:textId="74C43085" w:rsidR="00380146" w:rsidRPr="00C84DAA" w:rsidRDefault="00C84DAA" w:rsidP="00916B36">
      <w:pPr>
        <w:tabs>
          <w:tab w:val="left" w:pos="1170"/>
          <w:tab w:val="left" w:pos="9990"/>
        </w:tabs>
        <w:ind w:right="324"/>
        <w:jc w:val="both"/>
        <w:rPr>
          <w:b/>
          <w:bCs/>
          <w:szCs w:val="24"/>
        </w:rPr>
      </w:pPr>
      <w:r w:rsidRPr="00C84DAA">
        <w:rPr>
          <w:b/>
          <w:bCs/>
          <w:szCs w:val="24"/>
        </w:rPr>
        <w:t xml:space="preserve">Due to IRS regulations, the in-network individual deductible for Plan C (HSA) is required to increase from $1,400 to $1,500. </w:t>
      </w:r>
    </w:p>
    <w:p w14:paraId="79D8CDA5" w14:textId="77777777" w:rsidR="00380146" w:rsidRPr="00380146" w:rsidRDefault="00380146" w:rsidP="00916B36">
      <w:pPr>
        <w:tabs>
          <w:tab w:val="left" w:pos="1170"/>
          <w:tab w:val="left" w:pos="9990"/>
        </w:tabs>
        <w:ind w:right="324"/>
        <w:jc w:val="both"/>
        <w:rPr>
          <w:szCs w:val="24"/>
        </w:rPr>
      </w:pPr>
    </w:p>
    <w:p w14:paraId="5AC7BC42" w14:textId="04E79BB4" w:rsidR="00082EE2" w:rsidRPr="00082EE2" w:rsidRDefault="004A690B" w:rsidP="00916B36">
      <w:pPr>
        <w:tabs>
          <w:tab w:val="left" w:pos="1170"/>
          <w:tab w:val="left" w:pos="9990"/>
        </w:tabs>
        <w:ind w:right="324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Premium</w:t>
      </w:r>
      <w:r w:rsidR="00DF0598">
        <w:rPr>
          <w:b/>
          <w:szCs w:val="24"/>
          <w:u w:val="single"/>
        </w:rPr>
        <w:t xml:space="preserve"> Changes</w:t>
      </w:r>
      <w:r w:rsidR="00082EE2" w:rsidRPr="00082EE2">
        <w:rPr>
          <w:b/>
          <w:szCs w:val="24"/>
          <w:u w:val="single"/>
        </w:rPr>
        <w:t xml:space="preserve"> for </w:t>
      </w:r>
      <w:r w:rsidR="00071FB4">
        <w:rPr>
          <w:b/>
          <w:szCs w:val="24"/>
          <w:u w:val="single"/>
        </w:rPr>
        <w:t>202</w:t>
      </w:r>
      <w:r w:rsidR="00380146">
        <w:rPr>
          <w:b/>
          <w:szCs w:val="24"/>
          <w:u w:val="single"/>
        </w:rPr>
        <w:t>3</w:t>
      </w:r>
    </w:p>
    <w:p w14:paraId="3B8E28FD" w14:textId="77777777" w:rsidR="002B1EAD" w:rsidRDefault="002B1EAD" w:rsidP="00916B36">
      <w:pPr>
        <w:tabs>
          <w:tab w:val="left" w:pos="1170"/>
          <w:tab w:val="left" w:pos="9990"/>
        </w:tabs>
        <w:ind w:right="324"/>
        <w:jc w:val="both"/>
        <w:rPr>
          <w:szCs w:val="24"/>
        </w:rPr>
      </w:pPr>
    </w:p>
    <w:p w14:paraId="57C732CC" w14:textId="60224F2D" w:rsidR="00916B36" w:rsidRDefault="00EA72E4" w:rsidP="00916B36">
      <w:pPr>
        <w:tabs>
          <w:tab w:val="left" w:pos="1170"/>
          <w:tab w:val="left" w:pos="9990"/>
        </w:tabs>
        <w:ind w:right="324"/>
        <w:jc w:val="both"/>
        <w:rPr>
          <w:szCs w:val="24"/>
        </w:rPr>
      </w:pPr>
      <w:r>
        <w:rPr>
          <w:szCs w:val="24"/>
        </w:rPr>
        <w:t xml:space="preserve">The University is minimizing the contribution </w:t>
      </w:r>
      <w:r w:rsidR="007236F6">
        <w:rPr>
          <w:szCs w:val="24"/>
        </w:rPr>
        <w:t>changes for</w:t>
      </w:r>
      <w:r>
        <w:rPr>
          <w:szCs w:val="24"/>
        </w:rPr>
        <w:t xml:space="preserve"> </w:t>
      </w:r>
      <w:r w:rsidR="00071FB4">
        <w:rPr>
          <w:szCs w:val="24"/>
        </w:rPr>
        <w:t>202</w:t>
      </w:r>
      <w:r w:rsidR="00380146">
        <w:rPr>
          <w:szCs w:val="24"/>
        </w:rPr>
        <w:t>3</w:t>
      </w:r>
      <w:r>
        <w:rPr>
          <w:szCs w:val="24"/>
        </w:rPr>
        <w:t xml:space="preserve"> and is </w:t>
      </w:r>
      <w:r w:rsidR="00036A1E">
        <w:rPr>
          <w:szCs w:val="24"/>
        </w:rPr>
        <w:t xml:space="preserve">only </w:t>
      </w:r>
      <w:r>
        <w:rPr>
          <w:szCs w:val="24"/>
        </w:rPr>
        <w:t>increasing the contributions</w:t>
      </w:r>
      <w:r w:rsidR="00BA16DA">
        <w:rPr>
          <w:szCs w:val="24"/>
        </w:rPr>
        <w:t xml:space="preserve"> </w:t>
      </w:r>
      <w:r>
        <w:rPr>
          <w:szCs w:val="24"/>
        </w:rPr>
        <w:t xml:space="preserve">for each plan as outlined </w:t>
      </w:r>
      <w:r w:rsidR="00C73D02">
        <w:rPr>
          <w:szCs w:val="24"/>
        </w:rPr>
        <w:t xml:space="preserve">in the contribution table </w:t>
      </w:r>
      <w:r w:rsidR="00902176">
        <w:rPr>
          <w:szCs w:val="24"/>
        </w:rPr>
        <w:t xml:space="preserve">on the next page. </w:t>
      </w:r>
    </w:p>
    <w:p w14:paraId="0FF4A17E" w14:textId="77777777" w:rsidR="00C819C9" w:rsidRDefault="00C819C9" w:rsidP="00916B36">
      <w:pPr>
        <w:tabs>
          <w:tab w:val="left" w:pos="1170"/>
          <w:tab w:val="left" w:pos="9990"/>
        </w:tabs>
        <w:ind w:right="324"/>
        <w:jc w:val="both"/>
        <w:rPr>
          <w:szCs w:val="24"/>
        </w:rPr>
      </w:pPr>
    </w:p>
    <w:p w14:paraId="2F347D93" w14:textId="522BB24B" w:rsidR="00A2123B" w:rsidRPr="00A2123B" w:rsidRDefault="00C84DAA" w:rsidP="00916B36">
      <w:pPr>
        <w:tabs>
          <w:tab w:val="left" w:pos="1170"/>
          <w:tab w:val="left" w:pos="9990"/>
        </w:tabs>
        <w:ind w:right="324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D</w:t>
      </w:r>
      <w:r w:rsidR="00A2123B" w:rsidRPr="00A2123B">
        <w:rPr>
          <w:b/>
          <w:szCs w:val="24"/>
          <w:u w:val="single"/>
        </w:rPr>
        <w:t xml:space="preserve">ental Coverage for </w:t>
      </w:r>
      <w:r w:rsidR="00071FB4">
        <w:rPr>
          <w:b/>
          <w:szCs w:val="24"/>
          <w:u w:val="single"/>
        </w:rPr>
        <w:t>202</w:t>
      </w:r>
      <w:r w:rsidR="00380146">
        <w:rPr>
          <w:b/>
          <w:szCs w:val="24"/>
          <w:u w:val="single"/>
        </w:rPr>
        <w:t>3</w:t>
      </w:r>
    </w:p>
    <w:p w14:paraId="0BC236FD" w14:textId="77777777" w:rsidR="00A2123B" w:rsidRDefault="00A2123B" w:rsidP="00916B36">
      <w:pPr>
        <w:tabs>
          <w:tab w:val="left" w:pos="1170"/>
          <w:tab w:val="left" w:pos="9990"/>
        </w:tabs>
        <w:ind w:right="324"/>
        <w:jc w:val="both"/>
        <w:rPr>
          <w:szCs w:val="24"/>
        </w:rPr>
      </w:pPr>
    </w:p>
    <w:p w14:paraId="35139F3B" w14:textId="743F1825" w:rsidR="005D5285" w:rsidRDefault="00A2123B" w:rsidP="00916B36">
      <w:pPr>
        <w:tabs>
          <w:tab w:val="left" w:pos="1170"/>
          <w:tab w:val="left" w:pos="9990"/>
        </w:tabs>
        <w:ind w:right="324"/>
        <w:jc w:val="both"/>
        <w:rPr>
          <w:szCs w:val="24"/>
        </w:rPr>
      </w:pPr>
      <w:r>
        <w:rPr>
          <w:szCs w:val="24"/>
        </w:rPr>
        <w:t xml:space="preserve">Delta Dental will continue to be the provider for </w:t>
      </w:r>
      <w:r w:rsidR="00071FB4">
        <w:rPr>
          <w:szCs w:val="24"/>
        </w:rPr>
        <w:t>202</w:t>
      </w:r>
      <w:r w:rsidR="00380146">
        <w:rPr>
          <w:szCs w:val="24"/>
        </w:rPr>
        <w:t xml:space="preserve">3 with no contribution changes. </w:t>
      </w:r>
      <w:r w:rsidR="005D5285">
        <w:rPr>
          <w:szCs w:val="24"/>
        </w:rPr>
        <w:t xml:space="preserve"> </w:t>
      </w:r>
    </w:p>
    <w:p w14:paraId="285FE26C" w14:textId="676584A6" w:rsidR="00C61FA1" w:rsidRDefault="00C61FA1" w:rsidP="00916B36">
      <w:pPr>
        <w:tabs>
          <w:tab w:val="left" w:pos="1170"/>
          <w:tab w:val="left" w:pos="9990"/>
        </w:tabs>
        <w:ind w:right="324"/>
        <w:jc w:val="both"/>
        <w:rPr>
          <w:szCs w:val="24"/>
        </w:rPr>
      </w:pPr>
    </w:p>
    <w:p w14:paraId="743B0D72" w14:textId="77777777" w:rsidR="00916B36" w:rsidRPr="00D87D36" w:rsidRDefault="00916B36" w:rsidP="00916B36">
      <w:pPr>
        <w:tabs>
          <w:tab w:val="left" w:pos="1170"/>
          <w:tab w:val="left" w:pos="9990"/>
        </w:tabs>
        <w:ind w:right="324"/>
        <w:jc w:val="both"/>
        <w:rPr>
          <w:b/>
          <w:szCs w:val="24"/>
          <w:u w:val="single"/>
        </w:rPr>
      </w:pPr>
      <w:r w:rsidRPr="00D87D36">
        <w:rPr>
          <w:b/>
          <w:szCs w:val="24"/>
          <w:u w:val="single"/>
        </w:rPr>
        <w:t xml:space="preserve">In Summary </w:t>
      </w:r>
    </w:p>
    <w:p w14:paraId="187FC0AF" w14:textId="77777777" w:rsidR="00916B36" w:rsidRPr="00D87D36" w:rsidRDefault="00916B36" w:rsidP="00916B36">
      <w:pPr>
        <w:tabs>
          <w:tab w:val="left" w:pos="1170"/>
          <w:tab w:val="left" w:pos="9990"/>
        </w:tabs>
        <w:ind w:right="324"/>
        <w:jc w:val="both"/>
        <w:rPr>
          <w:b/>
          <w:szCs w:val="24"/>
          <w:u w:val="single"/>
        </w:rPr>
      </w:pPr>
    </w:p>
    <w:p w14:paraId="6725D8DC" w14:textId="3C4598F9" w:rsidR="00916B36" w:rsidRDefault="00916B36" w:rsidP="00916B36">
      <w:pPr>
        <w:pStyle w:val="Default"/>
        <w:rPr>
          <w:rFonts w:ascii="Times New Roman" w:hAnsi="Times New Roman" w:cs="Times New Roman"/>
          <w:color w:val="auto"/>
        </w:rPr>
      </w:pPr>
      <w:r w:rsidRPr="00D87D36">
        <w:rPr>
          <w:rFonts w:ascii="Times New Roman" w:hAnsi="Times New Roman" w:cs="Times New Roman"/>
          <w:color w:val="auto"/>
        </w:rPr>
        <w:t>Please contact S</w:t>
      </w:r>
      <w:r w:rsidR="00F60B05">
        <w:rPr>
          <w:rFonts w:ascii="Times New Roman" w:hAnsi="Times New Roman" w:cs="Times New Roman"/>
          <w:color w:val="auto"/>
        </w:rPr>
        <w:t>tephanie Hicks</w:t>
      </w:r>
      <w:r w:rsidR="003B594A">
        <w:rPr>
          <w:rFonts w:ascii="Times New Roman" w:hAnsi="Times New Roman" w:cs="Times New Roman"/>
          <w:color w:val="auto"/>
        </w:rPr>
        <w:t xml:space="preserve"> (hicks@elon.edu)</w:t>
      </w:r>
      <w:r w:rsidR="00F60B05">
        <w:rPr>
          <w:rFonts w:ascii="Times New Roman" w:hAnsi="Times New Roman" w:cs="Times New Roman"/>
          <w:color w:val="auto"/>
        </w:rPr>
        <w:t xml:space="preserve"> or Stephanie Page</w:t>
      </w:r>
      <w:r w:rsidR="00700D67">
        <w:rPr>
          <w:rFonts w:ascii="Times New Roman" w:hAnsi="Times New Roman" w:cs="Times New Roman"/>
          <w:color w:val="auto"/>
        </w:rPr>
        <w:t xml:space="preserve"> </w:t>
      </w:r>
      <w:r w:rsidR="003B594A">
        <w:rPr>
          <w:rFonts w:ascii="Times New Roman" w:hAnsi="Times New Roman" w:cs="Times New Roman"/>
          <w:color w:val="auto"/>
        </w:rPr>
        <w:t>(</w:t>
      </w:r>
      <w:hyperlink r:id="rId11" w:history="1">
        <w:r w:rsidR="003B594A" w:rsidRPr="00F04D4A">
          <w:rPr>
            <w:rStyle w:val="Hyperlink"/>
            <w:rFonts w:ascii="Times New Roman" w:hAnsi="Times New Roman" w:cs="Times New Roman"/>
            <w:color w:val="auto"/>
          </w:rPr>
          <w:t>spage@elon.edu</w:t>
        </w:r>
      </w:hyperlink>
      <w:r w:rsidR="003B594A">
        <w:rPr>
          <w:rFonts w:ascii="Times New Roman" w:hAnsi="Times New Roman" w:cs="Times New Roman"/>
          <w:color w:val="auto"/>
        </w:rPr>
        <w:t xml:space="preserve">) </w:t>
      </w:r>
      <w:r w:rsidRPr="00D87D36">
        <w:rPr>
          <w:rFonts w:ascii="Times New Roman" w:hAnsi="Times New Roman" w:cs="Times New Roman"/>
          <w:color w:val="auto"/>
        </w:rPr>
        <w:t xml:space="preserve">if you have any questions or concerns about the </w:t>
      </w:r>
      <w:r w:rsidR="00071FB4">
        <w:rPr>
          <w:rFonts w:ascii="Times New Roman" w:hAnsi="Times New Roman" w:cs="Times New Roman"/>
          <w:color w:val="auto"/>
        </w:rPr>
        <w:t>202</w:t>
      </w:r>
      <w:r w:rsidR="00380146">
        <w:rPr>
          <w:rFonts w:ascii="Times New Roman" w:hAnsi="Times New Roman" w:cs="Times New Roman"/>
          <w:color w:val="auto"/>
        </w:rPr>
        <w:t>3</w:t>
      </w:r>
      <w:r w:rsidRPr="00D87D36">
        <w:rPr>
          <w:rFonts w:ascii="Times New Roman" w:hAnsi="Times New Roman" w:cs="Times New Roman"/>
          <w:color w:val="auto"/>
        </w:rPr>
        <w:t xml:space="preserve"> health plans. </w:t>
      </w:r>
      <w:r w:rsidR="00B56E36" w:rsidRPr="00B56E36">
        <w:rPr>
          <w:rFonts w:ascii="Times New Roman" w:hAnsi="Times New Roman" w:cs="Times New Roman"/>
          <w:color w:val="auto"/>
        </w:rPr>
        <w:t xml:space="preserve">The monthly premiums are listed </w:t>
      </w:r>
      <w:r w:rsidR="00B56E36">
        <w:rPr>
          <w:rFonts w:ascii="Times New Roman" w:hAnsi="Times New Roman" w:cs="Times New Roman"/>
          <w:color w:val="auto"/>
        </w:rPr>
        <w:t xml:space="preserve">on the following page for medical and dental. </w:t>
      </w:r>
    </w:p>
    <w:p w14:paraId="6AA5CE63" w14:textId="75EB9310" w:rsidR="00B56E36" w:rsidRDefault="00B56E36" w:rsidP="00916B36">
      <w:pPr>
        <w:pStyle w:val="Default"/>
        <w:rPr>
          <w:rFonts w:ascii="Times New Roman" w:hAnsi="Times New Roman" w:cs="Times New Roman"/>
          <w:color w:val="auto"/>
        </w:rPr>
      </w:pPr>
    </w:p>
    <w:p w14:paraId="6975CA9D" w14:textId="66EAE856" w:rsidR="00B56E36" w:rsidRDefault="00B56E36" w:rsidP="00916B36">
      <w:pPr>
        <w:pStyle w:val="Default"/>
        <w:rPr>
          <w:rFonts w:ascii="Times New Roman" w:hAnsi="Times New Roman" w:cs="Times New Roman"/>
          <w:color w:val="auto"/>
        </w:rPr>
      </w:pPr>
    </w:p>
    <w:p w14:paraId="5CE01C62" w14:textId="1CADC015" w:rsidR="00B56E36" w:rsidRDefault="00B56E36" w:rsidP="00916B36">
      <w:pPr>
        <w:pStyle w:val="Default"/>
        <w:rPr>
          <w:rFonts w:ascii="Times New Roman" w:hAnsi="Times New Roman" w:cs="Times New Roman"/>
          <w:color w:val="auto"/>
        </w:rPr>
      </w:pPr>
    </w:p>
    <w:p w14:paraId="50AEAF5C" w14:textId="588A2C12" w:rsidR="00B56E36" w:rsidRDefault="00B56E36" w:rsidP="00916B36">
      <w:pPr>
        <w:pStyle w:val="Default"/>
        <w:rPr>
          <w:rFonts w:ascii="Times New Roman" w:hAnsi="Times New Roman" w:cs="Times New Roman"/>
          <w:color w:val="auto"/>
        </w:rPr>
      </w:pPr>
    </w:p>
    <w:p w14:paraId="47C98B9A" w14:textId="19FD5D5A" w:rsidR="00B56E36" w:rsidRDefault="00B56E36" w:rsidP="00916B36">
      <w:pPr>
        <w:pStyle w:val="Default"/>
        <w:rPr>
          <w:rFonts w:ascii="Times New Roman" w:hAnsi="Times New Roman" w:cs="Times New Roman"/>
          <w:color w:val="auto"/>
        </w:rPr>
      </w:pPr>
    </w:p>
    <w:p w14:paraId="27F30756" w14:textId="77777777" w:rsidR="00B56E36" w:rsidRDefault="00B56E36" w:rsidP="00916B36">
      <w:pPr>
        <w:pStyle w:val="Default"/>
        <w:rPr>
          <w:rFonts w:ascii="Times New Roman" w:hAnsi="Times New Roman" w:cs="Times New Roman"/>
          <w:color w:val="auto"/>
        </w:rPr>
      </w:pPr>
    </w:p>
    <w:p w14:paraId="5A3D405E" w14:textId="7ADB39E0" w:rsidR="00BC1F5C" w:rsidRDefault="00BC1F5C" w:rsidP="00916B36">
      <w:pPr>
        <w:pStyle w:val="Default"/>
        <w:rPr>
          <w:rFonts w:ascii="Times New Roman" w:hAnsi="Times New Roman" w:cs="Times New Roman"/>
          <w:color w:val="auto"/>
        </w:rPr>
      </w:pPr>
    </w:p>
    <w:p w14:paraId="47483D83" w14:textId="2F6CDF02" w:rsidR="00BC1F5C" w:rsidRDefault="00BC1F5C" w:rsidP="00916B36">
      <w:pPr>
        <w:pStyle w:val="Default"/>
        <w:rPr>
          <w:rFonts w:ascii="Times New Roman" w:hAnsi="Times New Roman" w:cs="Times New Roman"/>
          <w:color w:val="auto"/>
        </w:rPr>
      </w:pPr>
    </w:p>
    <w:p w14:paraId="7EB411E2" w14:textId="5D1F1A37" w:rsidR="00380146" w:rsidRDefault="00380146" w:rsidP="00916B36">
      <w:pPr>
        <w:pStyle w:val="Default"/>
        <w:rPr>
          <w:rFonts w:ascii="Times New Roman" w:hAnsi="Times New Roman" w:cs="Times New Roman"/>
          <w:color w:val="auto"/>
        </w:rPr>
      </w:pPr>
    </w:p>
    <w:p w14:paraId="0D3D876D" w14:textId="0C81131A" w:rsidR="00380146" w:rsidRDefault="00380146" w:rsidP="00916B36">
      <w:pPr>
        <w:pStyle w:val="Default"/>
        <w:rPr>
          <w:rFonts w:ascii="Times New Roman" w:hAnsi="Times New Roman" w:cs="Times New Roman"/>
          <w:color w:val="auto"/>
        </w:rPr>
      </w:pPr>
    </w:p>
    <w:p w14:paraId="4EC69041" w14:textId="3298F637" w:rsidR="00380146" w:rsidRDefault="00380146" w:rsidP="00916B36">
      <w:pPr>
        <w:pStyle w:val="Default"/>
        <w:rPr>
          <w:rFonts w:ascii="Times New Roman" w:hAnsi="Times New Roman" w:cs="Times New Roman"/>
          <w:color w:val="auto"/>
        </w:rPr>
      </w:pPr>
    </w:p>
    <w:p w14:paraId="312A6556" w14:textId="427E676A" w:rsidR="00380146" w:rsidRDefault="00380146" w:rsidP="00916B36">
      <w:pPr>
        <w:pStyle w:val="Default"/>
        <w:rPr>
          <w:rFonts w:ascii="Times New Roman" w:hAnsi="Times New Roman" w:cs="Times New Roman"/>
          <w:color w:val="auto"/>
        </w:rPr>
      </w:pPr>
    </w:p>
    <w:p w14:paraId="065218D1" w14:textId="168EAC19" w:rsidR="00380146" w:rsidRDefault="00380146" w:rsidP="00916B36">
      <w:pPr>
        <w:pStyle w:val="Default"/>
        <w:rPr>
          <w:rFonts w:ascii="Times New Roman" w:hAnsi="Times New Roman" w:cs="Times New Roman"/>
          <w:color w:val="auto"/>
        </w:rPr>
      </w:pPr>
    </w:p>
    <w:p w14:paraId="7A6CE7F6" w14:textId="7163CB33" w:rsidR="00380146" w:rsidRDefault="00380146" w:rsidP="00916B36">
      <w:pPr>
        <w:pStyle w:val="Default"/>
        <w:rPr>
          <w:rFonts w:ascii="Times New Roman" w:hAnsi="Times New Roman" w:cs="Times New Roman"/>
          <w:color w:val="auto"/>
        </w:rPr>
      </w:pPr>
    </w:p>
    <w:p w14:paraId="1C774935" w14:textId="77777777" w:rsidR="00C84DAA" w:rsidRDefault="00C84DAA" w:rsidP="00916B36">
      <w:pPr>
        <w:pStyle w:val="Default"/>
        <w:rPr>
          <w:rFonts w:ascii="Times New Roman" w:hAnsi="Times New Roman" w:cs="Times New Roman"/>
          <w:color w:val="auto"/>
        </w:rPr>
      </w:pPr>
    </w:p>
    <w:p w14:paraId="40F807EC" w14:textId="0654CA4B" w:rsidR="00380146" w:rsidRDefault="00380146" w:rsidP="00916B36">
      <w:pPr>
        <w:pStyle w:val="Default"/>
        <w:rPr>
          <w:rFonts w:ascii="Times New Roman" w:hAnsi="Times New Roman" w:cs="Times New Roman"/>
          <w:color w:val="auto"/>
        </w:rPr>
      </w:pPr>
    </w:p>
    <w:p w14:paraId="44B5255B" w14:textId="77777777" w:rsidR="00380146" w:rsidRDefault="00380146" w:rsidP="00916B36">
      <w:pPr>
        <w:pStyle w:val="Default"/>
        <w:rPr>
          <w:rFonts w:ascii="Times New Roman" w:hAnsi="Times New Roman" w:cs="Times New Roman"/>
          <w:color w:val="auto"/>
        </w:rPr>
      </w:pPr>
    </w:p>
    <w:p w14:paraId="16D8EE0D" w14:textId="1B3127BD" w:rsidR="00BC1F5C" w:rsidRDefault="00BC1F5C" w:rsidP="00916B36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1530"/>
        <w:gridCol w:w="1530"/>
        <w:gridCol w:w="1530"/>
        <w:gridCol w:w="1530"/>
      </w:tblGrid>
      <w:tr w:rsidR="00F60B05" w:rsidRPr="00F60B05" w14:paraId="6FF41449" w14:textId="77777777" w:rsidTr="00902176">
        <w:trPr>
          <w:trHeight w:val="458"/>
        </w:trPr>
        <w:tc>
          <w:tcPr>
            <w:tcW w:w="3680" w:type="dxa"/>
            <w:vMerge w:val="restart"/>
            <w:shd w:val="clear" w:color="000000" w:fill="FFFFFF"/>
            <w:vAlign w:val="bottom"/>
            <w:hideMark/>
          </w:tcPr>
          <w:p w14:paraId="549CC4FD" w14:textId="59900B34" w:rsidR="00F60B05" w:rsidRPr="00902176" w:rsidRDefault="00F60B05" w:rsidP="00F60B05">
            <w:pPr>
              <w:rPr>
                <w:b/>
                <w:bCs/>
                <w:color w:val="702082"/>
                <w:szCs w:val="24"/>
              </w:rPr>
            </w:pPr>
            <w:r w:rsidRPr="00902176">
              <w:rPr>
                <w:b/>
                <w:bCs/>
                <w:szCs w:val="24"/>
              </w:rPr>
              <w:t>Medical</w:t>
            </w:r>
          </w:p>
        </w:tc>
        <w:tc>
          <w:tcPr>
            <w:tcW w:w="6120" w:type="dxa"/>
            <w:gridSpan w:val="4"/>
            <w:vMerge w:val="restart"/>
            <w:shd w:val="clear" w:color="000000" w:fill="FFFFFF"/>
            <w:noWrap/>
            <w:vAlign w:val="center"/>
            <w:hideMark/>
          </w:tcPr>
          <w:p w14:paraId="1D3E0936" w14:textId="2DFFF9EC" w:rsidR="00F60B05" w:rsidRPr="00902176" w:rsidRDefault="00F60B05" w:rsidP="00F60B05">
            <w:pPr>
              <w:jc w:val="center"/>
              <w:rPr>
                <w:b/>
                <w:bCs/>
                <w:color w:val="702082"/>
                <w:szCs w:val="24"/>
                <w:u w:val="single"/>
              </w:rPr>
            </w:pPr>
            <w:r w:rsidRPr="00902176">
              <w:rPr>
                <w:b/>
                <w:bCs/>
                <w:szCs w:val="24"/>
                <w:u w:val="single"/>
              </w:rPr>
              <w:t>Monthly Employee Contributions</w:t>
            </w:r>
          </w:p>
        </w:tc>
      </w:tr>
      <w:tr w:rsidR="00F60B05" w:rsidRPr="00F60B05" w14:paraId="4F03972B" w14:textId="77777777" w:rsidTr="00902176">
        <w:trPr>
          <w:trHeight w:val="458"/>
        </w:trPr>
        <w:tc>
          <w:tcPr>
            <w:tcW w:w="3680" w:type="dxa"/>
            <w:vMerge/>
            <w:vAlign w:val="center"/>
            <w:hideMark/>
          </w:tcPr>
          <w:p w14:paraId="01BB3327" w14:textId="77777777" w:rsidR="00F60B05" w:rsidRPr="00902176" w:rsidRDefault="00F60B05" w:rsidP="00F60B05">
            <w:pPr>
              <w:rPr>
                <w:b/>
                <w:bCs/>
                <w:color w:val="702082"/>
                <w:szCs w:val="24"/>
              </w:rPr>
            </w:pPr>
          </w:p>
        </w:tc>
        <w:tc>
          <w:tcPr>
            <w:tcW w:w="6120" w:type="dxa"/>
            <w:gridSpan w:val="4"/>
            <w:vMerge/>
            <w:vAlign w:val="center"/>
            <w:hideMark/>
          </w:tcPr>
          <w:p w14:paraId="05A611C0" w14:textId="77777777" w:rsidR="00F60B05" w:rsidRPr="00902176" w:rsidRDefault="00F60B05" w:rsidP="00F60B05">
            <w:pPr>
              <w:rPr>
                <w:b/>
                <w:bCs/>
                <w:color w:val="702082"/>
                <w:szCs w:val="24"/>
                <w:u w:val="single"/>
              </w:rPr>
            </w:pPr>
          </w:p>
        </w:tc>
      </w:tr>
      <w:tr w:rsidR="00F60B05" w:rsidRPr="00F60B05" w14:paraId="522DA803" w14:textId="77777777" w:rsidTr="00902176">
        <w:trPr>
          <w:trHeight w:val="323"/>
        </w:trPr>
        <w:tc>
          <w:tcPr>
            <w:tcW w:w="3680" w:type="dxa"/>
            <w:vMerge/>
            <w:vAlign w:val="center"/>
            <w:hideMark/>
          </w:tcPr>
          <w:p w14:paraId="57CB21BB" w14:textId="77777777" w:rsidR="00F60B05" w:rsidRPr="00902176" w:rsidRDefault="00F60B05" w:rsidP="00F60B05">
            <w:pPr>
              <w:rPr>
                <w:b/>
                <w:bCs/>
                <w:color w:val="702082"/>
                <w:szCs w:val="24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14:paraId="26D9DAAD" w14:textId="55E9D759" w:rsidR="00F60B05" w:rsidRPr="00902176" w:rsidRDefault="00F60B05" w:rsidP="00F60B05">
            <w:pPr>
              <w:jc w:val="center"/>
              <w:rPr>
                <w:b/>
                <w:bCs/>
                <w:szCs w:val="24"/>
              </w:rPr>
            </w:pPr>
            <w:r w:rsidRPr="00902176">
              <w:rPr>
                <w:b/>
                <w:bCs/>
                <w:szCs w:val="24"/>
              </w:rPr>
              <w:t>202</w:t>
            </w:r>
            <w:r w:rsidR="00902176" w:rsidRPr="00902176">
              <w:rPr>
                <w:b/>
                <w:bCs/>
                <w:szCs w:val="24"/>
              </w:rPr>
              <w:t>2</w:t>
            </w:r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14:paraId="0EA6ED3A" w14:textId="578A4E7A" w:rsidR="00F60B05" w:rsidRPr="00902176" w:rsidRDefault="00071FB4" w:rsidP="00F60B05">
            <w:pPr>
              <w:jc w:val="center"/>
              <w:rPr>
                <w:b/>
                <w:bCs/>
                <w:szCs w:val="24"/>
              </w:rPr>
            </w:pPr>
            <w:r w:rsidRPr="00902176">
              <w:rPr>
                <w:b/>
                <w:bCs/>
                <w:szCs w:val="24"/>
              </w:rPr>
              <w:t>202</w:t>
            </w:r>
            <w:r w:rsidR="00902176" w:rsidRPr="00902176">
              <w:rPr>
                <w:b/>
                <w:bCs/>
                <w:szCs w:val="24"/>
              </w:rPr>
              <w:t>3</w:t>
            </w:r>
          </w:p>
        </w:tc>
        <w:tc>
          <w:tcPr>
            <w:tcW w:w="1530" w:type="dxa"/>
            <w:shd w:val="clear" w:color="000000" w:fill="FFFFFF"/>
            <w:vAlign w:val="bottom"/>
            <w:hideMark/>
          </w:tcPr>
          <w:p w14:paraId="34E77D66" w14:textId="77777777" w:rsidR="00F60B05" w:rsidRPr="00902176" w:rsidRDefault="00F60B05" w:rsidP="00F60B05">
            <w:pPr>
              <w:jc w:val="center"/>
              <w:rPr>
                <w:b/>
                <w:bCs/>
                <w:szCs w:val="24"/>
              </w:rPr>
            </w:pPr>
            <w:r w:rsidRPr="00902176">
              <w:rPr>
                <w:b/>
                <w:bCs/>
                <w:szCs w:val="24"/>
              </w:rPr>
              <w:t>$</w:t>
            </w:r>
          </w:p>
        </w:tc>
        <w:tc>
          <w:tcPr>
            <w:tcW w:w="1530" w:type="dxa"/>
            <w:shd w:val="clear" w:color="000000" w:fill="FFFFFF"/>
            <w:vAlign w:val="bottom"/>
            <w:hideMark/>
          </w:tcPr>
          <w:p w14:paraId="2FC275CB" w14:textId="77777777" w:rsidR="00F60B05" w:rsidRPr="00902176" w:rsidRDefault="00F60B05" w:rsidP="00F60B05">
            <w:pPr>
              <w:jc w:val="center"/>
              <w:rPr>
                <w:b/>
                <w:bCs/>
                <w:szCs w:val="24"/>
              </w:rPr>
            </w:pPr>
            <w:r w:rsidRPr="00902176">
              <w:rPr>
                <w:b/>
                <w:bCs/>
                <w:szCs w:val="24"/>
              </w:rPr>
              <w:t>%</w:t>
            </w:r>
          </w:p>
        </w:tc>
      </w:tr>
      <w:tr w:rsidR="00F60B05" w:rsidRPr="00F60B05" w14:paraId="6E810DDF" w14:textId="77777777" w:rsidTr="00902176">
        <w:trPr>
          <w:trHeight w:val="260"/>
        </w:trPr>
        <w:tc>
          <w:tcPr>
            <w:tcW w:w="3680" w:type="dxa"/>
            <w:shd w:val="clear" w:color="000000" w:fill="FFFFFF"/>
            <w:vAlign w:val="bottom"/>
            <w:hideMark/>
          </w:tcPr>
          <w:p w14:paraId="3C936EEE" w14:textId="77777777" w:rsidR="00F60B05" w:rsidRPr="00902176" w:rsidRDefault="00F60B05" w:rsidP="00F60B05">
            <w:pPr>
              <w:rPr>
                <w:b/>
                <w:bCs/>
                <w:szCs w:val="24"/>
              </w:rPr>
            </w:pPr>
            <w:r w:rsidRPr="00902176">
              <w:rPr>
                <w:b/>
                <w:bCs/>
                <w:szCs w:val="24"/>
              </w:rPr>
              <w:t>PLAN A</w:t>
            </w:r>
          </w:p>
        </w:tc>
        <w:tc>
          <w:tcPr>
            <w:tcW w:w="1530" w:type="dxa"/>
            <w:shd w:val="clear" w:color="000000" w:fill="FFFFFF"/>
            <w:vAlign w:val="bottom"/>
            <w:hideMark/>
          </w:tcPr>
          <w:p w14:paraId="7F137341" w14:textId="77777777" w:rsidR="00F60B05" w:rsidRPr="00902176" w:rsidRDefault="00F60B05" w:rsidP="00F60B05">
            <w:pPr>
              <w:jc w:val="right"/>
              <w:rPr>
                <w:szCs w:val="24"/>
              </w:rPr>
            </w:pPr>
            <w:r w:rsidRPr="00902176">
              <w:rPr>
                <w:szCs w:val="24"/>
              </w:rPr>
              <w:t> </w:t>
            </w:r>
          </w:p>
        </w:tc>
        <w:tc>
          <w:tcPr>
            <w:tcW w:w="1530" w:type="dxa"/>
            <w:shd w:val="clear" w:color="000000" w:fill="FFFFFF"/>
            <w:vAlign w:val="bottom"/>
            <w:hideMark/>
          </w:tcPr>
          <w:p w14:paraId="283979CE" w14:textId="77777777" w:rsidR="00F60B05" w:rsidRPr="00902176" w:rsidRDefault="00F60B05" w:rsidP="00F60B05">
            <w:pPr>
              <w:jc w:val="right"/>
              <w:rPr>
                <w:szCs w:val="24"/>
              </w:rPr>
            </w:pPr>
            <w:r w:rsidRPr="00902176">
              <w:rPr>
                <w:szCs w:val="24"/>
              </w:rPr>
              <w:t> </w:t>
            </w:r>
          </w:p>
        </w:tc>
        <w:tc>
          <w:tcPr>
            <w:tcW w:w="1530" w:type="dxa"/>
            <w:shd w:val="clear" w:color="000000" w:fill="FFFFFF"/>
            <w:vAlign w:val="bottom"/>
            <w:hideMark/>
          </w:tcPr>
          <w:p w14:paraId="40028A9C" w14:textId="77777777" w:rsidR="00F60B05" w:rsidRPr="00902176" w:rsidRDefault="00F60B05" w:rsidP="00F60B05">
            <w:pPr>
              <w:rPr>
                <w:szCs w:val="24"/>
              </w:rPr>
            </w:pPr>
            <w:r w:rsidRPr="00902176">
              <w:rPr>
                <w:szCs w:val="24"/>
              </w:rPr>
              <w:t> </w:t>
            </w:r>
          </w:p>
        </w:tc>
        <w:tc>
          <w:tcPr>
            <w:tcW w:w="1530" w:type="dxa"/>
            <w:shd w:val="clear" w:color="000000" w:fill="FFFFFF"/>
            <w:noWrap/>
            <w:vAlign w:val="bottom"/>
            <w:hideMark/>
          </w:tcPr>
          <w:p w14:paraId="3C8C540B" w14:textId="77777777" w:rsidR="00F60B05" w:rsidRPr="00902176" w:rsidRDefault="00F60B05" w:rsidP="00F60B05">
            <w:pPr>
              <w:jc w:val="right"/>
              <w:rPr>
                <w:szCs w:val="24"/>
              </w:rPr>
            </w:pPr>
            <w:r w:rsidRPr="00902176">
              <w:rPr>
                <w:szCs w:val="24"/>
              </w:rPr>
              <w:t> </w:t>
            </w:r>
          </w:p>
        </w:tc>
      </w:tr>
      <w:tr w:rsidR="00902176" w:rsidRPr="00F60B05" w14:paraId="3C94DCD7" w14:textId="77777777" w:rsidTr="00902176">
        <w:trPr>
          <w:trHeight w:val="250"/>
        </w:trPr>
        <w:tc>
          <w:tcPr>
            <w:tcW w:w="3680" w:type="dxa"/>
            <w:shd w:val="clear" w:color="auto" w:fill="auto"/>
            <w:vAlign w:val="bottom"/>
            <w:hideMark/>
          </w:tcPr>
          <w:p w14:paraId="67FE2915" w14:textId="77777777" w:rsidR="00902176" w:rsidRPr="00902176" w:rsidRDefault="00902176" w:rsidP="00902176">
            <w:pPr>
              <w:ind w:firstLineChars="100" w:firstLine="240"/>
              <w:rPr>
                <w:szCs w:val="24"/>
              </w:rPr>
            </w:pPr>
            <w:r w:rsidRPr="00902176">
              <w:rPr>
                <w:szCs w:val="24"/>
              </w:rPr>
              <w:t>EMPLOYEE ONLY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14:paraId="1C7AFB40" w14:textId="6320EFE5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t xml:space="preserve">$157.41 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14:paraId="350579F4" w14:textId="6A3B58F6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t>$162.92</w:t>
            </w:r>
          </w:p>
        </w:tc>
        <w:tc>
          <w:tcPr>
            <w:tcW w:w="1530" w:type="dxa"/>
            <w:shd w:val="clear" w:color="000000" w:fill="FFFFFF"/>
            <w:hideMark/>
          </w:tcPr>
          <w:p w14:paraId="2E2445DB" w14:textId="55F992BA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t xml:space="preserve">$5.51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4098AF96" w14:textId="2200FB5F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rPr>
                <w:szCs w:val="24"/>
              </w:rPr>
              <w:t>3.5%</w:t>
            </w:r>
          </w:p>
        </w:tc>
      </w:tr>
      <w:tr w:rsidR="00902176" w:rsidRPr="00F60B05" w14:paraId="2E229A13" w14:textId="77777777" w:rsidTr="00902176">
        <w:trPr>
          <w:trHeight w:val="250"/>
        </w:trPr>
        <w:tc>
          <w:tcPr>
            <w:tcW w:w="3680" w:type="dxa"/>
            <w:shd w:val="clear" w:color="auto" w:fill="auto"/>
            <w:vAlign w:val="bottom"/>
            <w:hideMark/>
          </w:tcPr>
          <w:p w14:paraId="35E90BA8" w14:textId="77777777" w:rsidR="00902176" w:rsidRPr="00902176" w:rsidRDefault="00902176" w:rsidP="00902176">
            <w:pPr>
              <w:ind w:firstLineChars="100" w:firstLine="240"/>
              <w:rPr>
                <w:szCs w:val="24"/>
              </w:rPr>
            </w:pPr>
            <w:r w:rsidRPr="00902176">
              <w:rPr>
                <w:szCs w:val="24"/>
              </w:rPr>
              <w:t>EMPLOYEE + SPOUSE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14:paraId="487106EB" w14:textId="7584A0AC" w:rsidR="00902176" w:rsidRPr="00902176" w:rsidRDefault="00902176" w:rsidP="00902176">
            <w:pPr>
              <w:jc w:val="right"/>
              <w:rPr>
                <w:szCs w:val="24"/>
                <w:highlight w:val="yellow"/>
              </w:rPr>
            </w:pPr>
            <w:r w:rsidRPr="00BD0AE1">
              <w:t xml:space="preserve">$432.33 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14:paraId="33234BE0" w14:textId="416D8CEE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t>$447.46</w:t>
            </w:r>
          </w:p>
        </w:tc>
        <w:tc>
          <w:tcPr>
            <w:tcW w:w="1530" w:type="dxa"/>
            <w:shd w:val="clear" w:color="000000" w:fill="FFFFFF"/>
            <w:hideMark/>
          </w:tcPr>
          <w:p w14:paraId="6C22966E" w14:textId="163A4F1C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t xml:space="preserve">$15.13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05F1F3CC" w14:textId="6AEA7339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rPr>
                <w:szCs w:val="24"/>
              </w:rPr>
              <w:t>3.5%</w:t>
            </w:r>
          </w:p>
        </w:tc>
      </w:tr>
      <w:tr w:rsidR="00902176" w:rsidRPr="00F60B05" w14:paraId="325051BB" w14:textId="77777777" w:rsidTr="00902176">
        <w:trPr>
          <w:trHeight w:val="250"/>
        </w:trPr>
        <w:tc>
          <w:tcPr>
            <w:tcW w:w="3680" w:type="dxa"/>
            <w:shd w:val="clear" w:color="auto" w:fill="auto"/>
            <w:vAlign w:val="bottom"/>
            <w:hideMark/>
          </w:tcPr>
          <w:p w14:paraId="007D90E4" w14:textId="77777777" w:rsidR="00902176" w:rsidRPr="00902176" w:rsidRDefault="00902176" w:rsidP="00902176">
            <w:pPr>
              <w:ind w:firstLineChars="100" w:firstLine="240"/>
              <w:rPr>
                <w:szCs w:val="24"/>
              </w:rPr>
            </w:pPr>
            <w:r w:rsidRPr="00902176">
              <w:rPr>
                <w:szCs w:val="24"/>
              </w:rPr>
              <w:t>EMPLOYEE + CHILD(REN)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14:paraId="6C2C20F7" w14:textId="49F0FF11" w:rsidR="00902176" w:rsidRPr="00902176" w:rsidRDefault="00902176" w:rsidP="00902176">
            <w:pPr>
              <w:jc w:val="right"/>
              <w:rPr>
                <w:szCs w:val="24"/>
                <w:highlight w:val="yellow"/>
              </w:rPr>
            </w:pPr>
            <w:r w:rsidRPr="00BD0AE1">
              <w:t xml:space="preserve">$380.85 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14:paraId="73F98F07" w14:textId="625076EA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t>$394.18</w:t>
            </w:r>
          </w:p>
        </w:tc>
        <w:tc>
          <w:tcPr>
            <w:tcW w:w="1530" w:type="dxa"/>
            <w:shd w:val="clear" w:color="000000" w:fill="FFFFFF"/>
            <w:hideMark/>
          </w:tcPr>
          <w:p w14:paraId="47F0E91E" w14:textId="5C6B2A15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t xml:space="preserve">$13.33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002BFB32" w14:textId="36A01B35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rPr>
                <w:szCs w:val="24"/>
              </w:rPr>
              <w:t>3.5%</w:t>
            </w:r>
          </w:p>
        </w:tc>
      </w:tr>
      <w:tr w:rsidR="00902176" w:rsidRPr="00F60B05" w14:paraId="14E5E060" w14:textId="77777777" w:rsidTr="00902176">
        <w:trPr>
          <w:trHeight w:val="250"/>
        </w:trPr>
        <w:tc>
          <w:tcPr>
            <w:tcW w:w="3680" w:type="dxa"/>
            <w:shd w:val="clear" w:color="auto" w:fill="auto"/>
            <w:vAlign w:val="bottom"/>
            <w:hideMark/>
          </w:tcPr>
          <w:p w14:paraId="4E5C3EFD" w14:textId="77777777" w:rsidR="00902176" w:rsidRPr="00902176" w:rsidRDefault="00902176" w:rsidP="00902176">
            <w:pPr>
              <w:ind w:firstLineChars="100" w:firstLine="240"/>
              <w:rPr>
                <w:szCs w:val="24"/>
              </w:rPr>
            </w:pPr>
            <w:r w:rsidRPr="00902176">
              <w:rPr>
                <w:szCs w:val="24"/>
              </w:rPr>
              <w:t>EMPLOYEE + FAMILY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14:paraId="43E93FC9" w14:textId="7489AD05" w:rsidR="00902176" w:rsidRPr="00902176" w:rsidRDefault="00902176" w:rsidP="00902176">
            <w:pPr>
              <w:jc w:val="right"/>
              <w:rPr>
                <w:szCs w:val="24"/>
                <w:highlight w:val="yellow"/>
              </w:rPr>
            </w:pPr>
            <w:r w:rsidRPr="00BD0AE1">
              <w:t xml:space="preserve">$514.67 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14:paraId="6640CD9F" w14:textId="3C50EAD9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t>$532.68</w:t>
            </w:r>
          </w:p>
        </w:tc>
        <w:tc>
          <w:tcPr>
            <w:tcW w:w="1530" w:type="dxa"/>
            <w:shd w:val="clear" w:color="000000" w:fill="FFFFFF"/>
            <w:hideMark/>
          </w:tcPr>
          <w:p w14:paraId="5F1D312A" w14:textId="7089400D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t xml:space="preserve">$18.01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7DF40161" w14:textId="59BAEB6F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rPr>
                <w:szCs w:val="24"/>
              </w:rPr>
              <w:t>3.5%</w:t>
            </w:r>
          </w:p>
        </w:tc>
      </w:tr>
      <w:tr w:rsidR="00902176" w:rsidRPr="00F60B05" w14:paraId="65731295" w14:textId="77777777" w:rsidTr="00902176">
        <w:trPr>
          <w:trHeight w:val="260"/>
        </w:trPr>
        <w:tc>
          <w:tcPr>
            <w:tcW w:w="3680" w:type="dxa"/>
            <w:shd w:val="clear" w:color="000000" w:fill="FFFFFF"/>
            <w:vAlign w:val="bottom"/>
            <w:hideMark/>
          </w:tcPr>
          <w:p w14:paraId="51DD7959" w14:textId="77777777" w:rsidR="00902176" w:rsidRPr="00902176" w:rsidRDefault="00902176" w:rsidP="00902176">
            <w:pPr>
              <w:rPr>
                <w:b/>
                <w:bCs/>
                <w:szCs w:val="24"/>
              </w:rPr>
            </w:pPr>
            <w:r w:rsidRPr="00902176">
              <w:rPr>
                <w:b/>
                <w:bCs/>
                <w:szCs w:val="24"/>
              </w:rPr>
              <w:t>PLAN B</w:t>
            </w:r>
          </w:p>
        </w:tc>
        <w:tc>
          <w:tcPr>
            <w:tcW w:w="1530" w:type="dxa"/>
            <w:shd w:val="clear" w:color="000000" w:fill="FFFFFF"/>
            <w:hideMark/>
          </w:tcPr>
          <w:p w14:paraId="38852732" w14:textId="2DFA0D9F" w:rsidR="00902176" w:rsidRPr="00902176" w:rsidRDefault="00902176" w:rsidP="00902176">
            <w:pPr>
              <w:jc w:val="right"/>
              <w:rPr>
                <w:szCs w:val="24"/>
                <w:highlight w:val="yellow"/>
              </w:rPr>
            </w:pPr>
            <w:r w:rsidRPr="00BD0AE1">
              <w:t xml:space="preserve"> </w:t>
            </w:r>
          </w:p>
        </w:tc>
        <w:tc>
          <w:tcPr>
            <w:tcW w:w="1530" w:type="dxa"/>
            <w:shd w:val="clear" w:color="000000" w:fill="FFFFFF"/>
            <w:hideMark/>
          </w:tcPr>
          <w:p w14:paraId="673D772A" w14:textId="074E53A3" w:rsidR="00902176" w:rsidRPr="00902176" w:rsidRDefault="00902176" w:rsidP="00902176">
            <w:pPr>
              <w:jc w:val="right"/>
              <w:rPr>
                <w:szCs w:val="24"/>
              </w:rPr>
            </w:pPr>
          </w:p>
        </w:tc>
        <w:tc>
          <w:tcPr>
            <w:tcW w:w="1530" w:type="dxa"/>
            <w:shd w:val="clear" w:color="000000" w:fill="FFFFFF"/>
            <w:hideMark/>
          </w:tcPr>
          <w:p w14:paraId="3C116378" w14:textId="0E728D20" w:rsidR="00902176" w:rsidRPr="00902176" w:rsidRDefault="00902176" w:rsidP="00902176">
            <w:pPr>
              <w:jc w:val="right"/>
              <w:rPr>
                <w:szCs w:val="24"/>
              </w:rPr>
            </w:pP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0221CAF0" w14:textId="77777777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rPr>
                <w:szCs w:val="24"/>
              </w:rPr>
              <w:t> </w:t>
            </w:r>
          </w:p>
        </w:tc>
      </w:tr>
      <w:tr w:rsidR="00902176" w:rsidRPr="00F60B05" w14:paraId="08F4F756" w14:textId="77777777" w:rsidTr="00902176">
        <w:trPr>
          <w:trHeight w:val="250"/>
        </w:trPr>
        <w:tc>
          <w:tcPr>
            <w:tcW w:w="3680" w:type="dxa"/>
            <w:shd w:val="clear" w:color="auto" w:fill="auto"/>
            <w:vAlign w:val="bottom"/>
            <w:hideMark/>
          </w:tcPr>
          <w:p w14:paraId="0A9CBD38" w14:textId="77777777" w:rsidR="00902176" w:rsidRPr="00902176" w:rsidRDefault="00902176" w:rsidP="00902176">
            <w:pPr>
              <w:ind w:firstLineChars="100" w:firstLine="240"/>
              <w:rPr>
                <w:szCs w:val="24"/>
              </w:rPr>
            </w:pPr>
            <w:r w:rsidRPr="00902176">
              <w:rPr>
                <w:szCs w:val="24"/>
              </w:rPr>
              <w:t>EMPLOYEE ONLY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14:paraId="3A13C4B7" w14:textId="4ED5ED5A" w:rsidR="00902176" w:rsidRPr="00902176" w:rsidRDefault="00902176" w:rsidP="00902176">
            <w:pPr>
              <w:jc w:val="right"/>
              <w:rPr>
                <w:szCs w:val="24"/>
                <w:highlight w:val="yellow"/>
              </w:rPr>
            </w:pPr>
            <w:r w:rsidRPr="00BD0AE1">
              <w:t xml:space="preserve">$276.88 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14:paraId="236E833D" w14:textId="783576F1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t>$285.19</w:t>
            </w:r>
          </w:p>
        </w:tc>
        <w:tc>
          <w:tcPr>
            <w:tcW w:w="1530" w:type="dxa"/>
            <w:shd w:val="clear" w:color="000000" w:fill="FFFFFF"/>
            <w:hideMark/>
          </w:tcPr>
          <w:p w14:paraId="61AD7E12" w14:textId="7FFEE44C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t xml:space="preserve">$8.31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57CA5A3F" w14:textId="43E6A803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rPr>
                <w:szCs w:val="24"/>
              </w:rPr>
              <w:t>3%</w:t>
            </w:r>
          </w:p>
        </w:tc>
      </w:tr>
      <w:tr w:rsidR="00902176" w:rsidRPr="00F60B05" w14:paraId="7FE2D9A9" w14:textId="77777777" w:rsidTr="00902176">
        <w:trPr>
          <w:trHeight w:val="250"/>
        </w:trPr>
        <w:tc>
          <w:tcPr>
            <w:tcW w:w="3680" w:type="dxa"/>
            <w:shd w:val="clear" w:color="auto" w:fill="auto"/>
            <w:vAlign w:val="bottom"/>
            <w:hideMark/>
          </w:tcPr>
          <w:p w14:paraId="38C1468E" w14:textId="77777777" w:rsidR="00902176" w:rsidRPr="00902176" w:rsidRDefault="00902176" w:rsidP="00902176">
            <w:pPr>
              <w:ind w:firstLineChars="100" w:firstLine="240"/>
              <w:rPr>
                <w:szCs w:val="24"/>
              </w:rPr>
            </w:pPr>
            <w:r w:rsidRPr="00902176">
              <w:rPr>
                <w:szCs w:val="24"/>
              </w:rPr>
              <w:t>EMPLOYEE + SPOUSE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14:paraId="69BC84C8" w14:textId="07831422" w:rsidR="00902176" w:rsidRPr="00902176" w:rsidRDefault="00902176" w:rsidP="00902176">
            <w:pPr>
              <w:jc w:val="right"/>
              <w:rPr>
                <w:szCs w:val="24"/>
                <w:highlight w:val="yellow"/>
              </w:rPr>
            </w:pPr>
            <w:r w:rsidRPr="00BD0AE1">
              <w:t xml:space="preserve">$787.21 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14:paraId="003EECA3" w14:textId="2A640D11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t>$810.83</w:t>
            </w:r>
          </w:p>
        </w:tc>
        <w:tc>
          <w:tcPr>
            <w:tcW w:w="1530" w:type="dxa"/>
            <w:shd w:val="clear" w:color="000000" w:fill="FFFFFF"/>
            <w:hideMark/>
          </w:tcPr>
          <w:p w14:paraId="0908E5FC" w14:textId="1742FD5F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t xml:space="preserve">$23.62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356BB3F0" w14:textId="46BA5232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rPr>
                <w:szCs w:val="24"/>
              </w:rPr>
              <w:t>3%</w:t>
            </w:r>
          </w:p>
        </w:tc>
      </w:tr>
      <w:tr w:rsidR="00902176" w:rsidRPr="00F60B05" w14:paraId="6DEF36FF" w14:textId="77777777" w:rsidTr="00902176">
        <w:trPr>
          <w:trHeight w:val="250"/>
        </w:trPr>
        <w:tc>
          <w:tcPr>
            <w:tcW w:w="3680" w:type="dxa"/>
            <w:shd w:val="clear" w:color="auto" w:fill="auto"/>
            <w:vAlign w:val="bottom"/>
            <w:hideMark/>
          </w:tcPr>
          <w:p w14:paraId="3CC5375C" w14:textId="77777777" w:rsidR="00902176" w:rsidRPr="00902176" w:rsidRDefault="00902176" w:rsidP="00902176">
            <w:pPr>
              <w:ind w:firstLineChars="100" w:firstLine="240"/>
              <w:rPr>
                <w:szCs w:val="24"/>
              </w:rPr>
            </w:pPr>
            <w:r w:rsidRPr="00902176">
              <w:rPr>
                <w:szCs w:val="24"/>
              </w:rPr>
              <w:t>EMPLOYEE + CHILD(REN)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14:paraId="74E98DC6" w14:textId="2B491724" w:rsidR="00902176" w:rsidRPr="00902176" w:rsidRDefault="00902176" w:rsidP="00902176">
            <w:pPr>
              <w:jc w:val="right"/>
              <w:rPr>
                <w:szCs w:val="24"/>
                <w:highlight w:val="yellow"/>
              </w:rPr>
            </w:pPr>
            <w:r w:rsidRPr="00BD0AE1">
              <w:t xml:space="preserve">$577.29 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14:paraId="3EF0DE77" w14:textId="0ED471F4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t>$594.61</w:t>
            </w:r>
          </w:p>
        </w:tc>
        <w:tc>
          <w:tcPr>
            <w:tcW w:w="1530" w:type="dxa"/>
            <w:shd w:val="clear" w:color="000000" w:fill="FFFFFF"/>
            <w:hideMark/>
          </w:tcPr>
          <w:p w14:paraId="399346AF" w14:textId="266F4F53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t xml:space="preserve">$17.32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620B7E0A" w14:textId="32E22794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rPr>
                <w:szCs w:val="24"/>
              </w:rPr>
              <w:t>3%</w:t>
            </w:r>
          </w:p>
        </w:tc>
      </w:tr>
      <w:tr w:rsidR="00902176" w:rsidRPr="00F60B05" w14:paraId="6F12FB6E" w14:textId="77777777" w:rsidTr="00902176">
        <w:trPr>
          <w:trHeight w:val="250"/>
        </w:trPr>
        <w:tc>
          <w:tcPr>
            <w:tcW w:w="3680" w:type="dxa"/>
            <w:shd w:val="clear" w:color="auto" w:fill="auto"/>
            <w:vAlign w:val="bottom"/>
            <w:hideMark/>
          </w:tcPr>
          <w:p w14:paraId="0D1DCE06" w14:textId="77777777" w:rsidR="00902176" w:rsidRPr="00902176" w:rsidRDefault="00902176" w:rsidP="00902176">
            <w:pPr>
              <w:ind w:firstLineChars="100" w:firstLine="240"/>
              <w:rPr>
                <w:szCs w:val="24"/>
              </w:rPr>
            </w:pPr>
            <w:r w:rsidRPr="00902176">
              <w:rPr>
                <w:szCs w:val="24"/>
              </w:rPr>
              <w:t>EMPLOYEE + FAMILY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14:paraId="4B75798C" w14:textId="3C8E95A7" w:rsidR="00902176" w:rsidRPr="00902176" w:rsidRDefault="00902176" w:rsidP="00902176">
            <w:pPr>
              <w:jc w:val="right"/>
              <w:rPr>
                <w:szCs w:val="24"/>
                <w:highlight w:val="yellow"/>
              </w:rPr>
            </w:pPr>
            <w:r w:rsidRPr="00BD0AE1">
              <w:t xml:space="preserve">$976.14 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14:paraId="74C4C0A1" w14:textId="15D02E84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t>$995.66</w:t>
            </w:r>
          </w:p>
        </w:tc>
        <w:tc>
          <w:tcPr>
            <w:tcW w:w="1530" w:type="dxa"/>
            <w:shd w:val="clear" w:color="000000" w:fill="FFFFFF"/>
            <w:hideMark/>
          </w:tcPr>
          <w:p w14:paraId="3B1ED959" w14:textId="034FC619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t xml:space="preserve">$19.52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98504B9" w14:textId="2E4DCCC4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rPr>
                <w:szCs w:val="24"/>
              </w:rPr>
              <w:t>2%</w:t>
            </w:r>
          </w:p>
        </w:tc>
      </w:tr>
      <w:tr w:rsidR="00902176" w:rsidRPr="00F60B05" w14:paraId="34B4F7D9" w14:textId="77777777" w:rsidTr="00902176">
        <w:trPr>
          <w:trHeight w:val="260"/>
        </w:trPr>
        <w:tc>
          <w:tcPr>
            <w:tcW w:w="3680" w:type="dxa"/>
            <w:shd w:val="clear" w:color="000000" w:fill="FFFFFF"/>
            <w:vAlign w:val="bottom"/>
            <w:hideMark/>
          </w:tcPr>
          <w:p w14:paraId="46449D14" w14:textId="1EB7E961" w:rsidR="00902176" w:rsidRPr="00902176" w:rsidRDefault="00902176" w:rsidP="00902176">
            <w:pPr>
              <w:rPr>
                <w:b/>
                <w:bCs/>
                <w:szCs w:val="24"/>
              </w:rPr>
            </w:pPr>
            <w:r w:rsidRPr="00902176">
              <w:rPr>
                <w:b/>
                <w:bCs/>
                <w:szCs w:val="24"/>
              </w:rPr>
              <w:t xml:space="preserve">Plan C (HSA) </w:t>
            </w:r>
          </w:p>
        </w:tc>
        <w:tc>
          <w:tcPr>
            <w:tcW w:w="1530" w:type="dxa"/>
            <w:shd w:val="clear" w:color="000000" w:fill="FFFFFF"/>
            <w:hideMark/>
          </w:tcPr>
          <w:p w14:paraId="514AD451" w14:textId="131F1E01" w:rsidR="00902176" w:rsidRPr="00902176" w:rsidRDefault="00902176" w:rsidP="00902176">
            <w:pPr>
              <w:jc w:val="right"/>
              <w:rPr>
                <w:szCs w:val="24"/>
                <w:highlight w:val="yellow"/>
              </w:rPr>
            </w:pPr>
            <w:r w:rsidRPr="00BD0AE1">
              <w:t xml:space="preserve"> </w:t>
            </w:r>
          </w:p>
        </w:tc>
        <w:tc>
          <w:tcPr>
            <w:tcW w:w="1530" w:type="dxa"/>
            <w:shd w:val="clear" w:color="000000" w:fill="FFFFFF"/>
            <w:hideMark/>
          </w:tcPr>
          <w:p w14:paraId="3EC00F47" w14:textId="6E9533C0" w:rsidR="00902176" w:rsidRPr="00902176" w:rsidRDefault="00902176" w:rsidP="00902176">
            <w:pPr>
              <w:jc w:val="right"/>
              <w:rPr>
                <w:szCs w:val="24"/>
              </w:rPr>
            </w:pPr>
          </w:p>
        </w:tc>
        <w:tc>
          <w:tcPr>
            <w:tcW w:w="1530" w:type="dxa"/>
            <w:shd w:val="clear" w:color="000000" w:fill="FFFFFF"/>
            <w:hideMark/>
          </w:tcPr>
          <w:p w14:paraId="6916E730" w14:textId="6708AD46" w:rsidR="00902176" w:rsidRPr="00902176" w:rsidRDefault="00902176" w:rsidP="00902176">
            <w:pPr>
              <w:jc w:val="right"/>
              <w:rPr>
                <w:szCs w:val="24"/>
              </w:rPr>
            </w:pP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2EB018D2" w14:textId="77777777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rPr>
                <w:szCs w:val="24"/>
              </w:rPr>
              <w:t> </w:t>
            </w:r>
          </w:p>
        </w:tc>
      </w:tr>
      <w:tr w:rsidR="00902176" w:rsidRPr="00F60B05" w14:paraId="2919AFC8" w14:textId="77777777" w:rsidTr="00902176">
        <w:trPr>
          <w:trHeight w:val="250"/>
        </w:trPr>
        <w:tc>
          <w:tcPr>
            <w:tcW w:w="3680" w:type="dxa"/>
            <w:shd w:val="clear" w:color="auto" w:fill="auto"/>
            <w:vAlign w:val="bottom"/>
            <w:hideMark/>
          </w:tcPr>
          <w:p w14:paraId="1D950538" w14:textId="77777777" w:rsidR="00902176" w:rsidRPr="00902176" w:rsidRDefault="00902176" w:rsidP="00902176">
            <w:pPr>
              <w:ind w:firstLineChars="100" w:firstLine="240"/>
              <w:rPr>
                <w:szCs w:val="24"/>
              </w:rPr>
            </w:pPr>
            <w:r w:rsidRPr="00902176">
              <w:rPr>
                <w:szCs w:val="24"/>
              </w:rPr>
              <w:t>EMPLOYEE ONLY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14:paraId="78F5F076" w14:textId="363DA5CB" w:rsidR="00902176" w:rsidRPr="00902176" w:rsidRDefault="00902176" w:rsidP="00902176">
            <w:pPr>
              <w:jc w:val="right"/>
              <w:rPr>
                <w:szCs w:val="24"/>
                <w:highlight w:val="yellow"/>
              </w:rPr>
            </w:pPr>
            <w:r w:rsidRPr="00BD0AE1">
              <w:t xml:space="preserve">$95.26 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14:paraId="0E16C4C6" w14:textId="300F64EE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t>$98.59</w:t>
            </w:r>
          </w:p>
        </w:tc>
        <w:tc>
          <w:tcPr>
            <w:tcW w:w="1530" w:type="dxa"/>
            <w:shd w:val="clear" w:color="000000" w:fill="FFFFFF"/>
            <w:hideMark/>
          </w:tcPr>
          <w:p w14:paraId="1A87949B" w14:textId="274E5641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t xml:space="preserve">$3.33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5E5CCC62" w14:textId="08DAC27D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rPr>
                <w:szCs w:val="24"/>
              </w:rPr>
              <w:t>3.5%</w:t>
            </w:r>
          </w:p>
        </w:tc>
      </w:tr>
      <w:tr w:rsidR="00902176" w:rsidRPr="00F60B05" w14:paraId="5EA49598" w14:textId="77777777" w:rsidTr="00902176">
        <w:trPr>
          <w:trHeight w:val="250"/>
        </w:trPr>
        <w:tc>
          <w:tcPr>
            <w:tcW w:w="3680" w:type="dxa"/>
            <w:shd w:val="clear" w:color="auto" w:fill="auto"/>
            <w:vAlign w:val="bottom"/>
            <w:hideMark/>
          </w:tcPr>
          <w:p w14:paraId="59795FE0" w14:textId="77777777" w:rsidR="00902176" w:rsidRPr="00902176" w:rsidRDefault="00902176" w:rsidP="00902176">
            <w:pPr>
              <w:ind w:firstLineChars="100" w:firstLine="240"/>
              <w:rPr>
                <w:szCs w:val="24"/>
              </w:rPr>
            </w:pPr>
            <w:r w:rsidRPr="00902176">
              <w:rPr>
                <w:szCs w:val="24"/>
              </w:rPr>
              <w:t>EMPLOYEE + SPOUSE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14:paraId="205FF483" w14:textId="1B64DDC0" w:rsidR="00902176" w:rsidRPr="00902176" w:rsidRDefault="00902176" w:rsidP="00902176">
            <w:pPr>
              <w:jc w:val="right"/>
              <w:rPr>
                <w:szCs w:val="24"/>
                <w:highlight w:val="yellow"/>
              </w:rPr>
            </w:pPr>
            <w:r w:rsidRPr="00BD0AE1">
              <w:t xml:space="preserve">$297.81 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14:paraId="1C33FACB" w14:textId="5F8849B3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t>$308.23</w:t>
            </w:r>
          </w:p>
        </w:tc>
        <w:tc>
          <w:tcPr>
            <w:tcW w:w="1530" w:type="dxa"/>
            <w:shd w:val="clear" w:color="000000" w:fill="FFFFFF"/>
            <w:hideMark/>
          </w:tcPr>
          <w:p w14:paraId="1128EFE0" w14:textId="4A8339D4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t>$10.42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6A872BB4" w14:textId="38A64A4C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rPr>
                <w:szCs w:val="24"/>
              </w:rPr>
              <w:t>3.5%</w:t>
            </w:r>
          </w:p>
        </w:tc>
      </w:tr>
      <w:tr w:rsidR="00902176" w:rsidRPr="00F60B05" w14:paraId="54E7B91D" w14:textId="77777777" w:rsidTr="00902176">
        <w:trPr>
          <w:trHeight w:val="250"/>
        </w:trPr>
        <w:tc>
          <w:tcPr>
            <w:tcW w:w="3680" w:type="dxa"/>
            <w:shd w:val="clear" w:color="auto" w:fill="auto"/>
            <w:vAlign w:val="bottom"/>
            <w:hideMark/>
          </w:tcPr>
          <w:p w14:paraId="6B0BD610" w14:textId="77777777" w:rsidR="00902176" w:rsidRPr="00902176" w:rsidRDefault="00902176" w:rsidP="00902176">
            <w:pPr>
              <w:ind w:firstLineChars="100" w:firstLine="240"/>
              <w:rPr>
                <w:szCs w:val="24"/>
              </w:rPr>
            </w:pPr>
            <w:r w:rsidRPr="00902176">
              <w:rPr>
                <w:szCs w:val="24"/>
              </w:rPr>
              <w:t>EMPLOYEE + CHILD(REN)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14:paraId="40200897" w14:textId="015F4FBE" w:rsidR="00902176" w:rsidRPr="00902176" w:rsidRDefault="00902176" w:rsidP="00902176">
            <w:pPr>
              <w:jc w:val="right"/>
              <w:rPr>
                <w:szCs w:val="24"/>
                <w:highlight w:val="yellow"/>
              </w:rPr>
            </w:pPr>
            <w:r w:rsidRPr="00BD0AE1">
              <w:t xml:space="preserve">$262.35 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14:paraId="27F66E89" w14:textId="7824A858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t>$271.53</w:t>
            </w:r>
          </w:p>
        </w:tc>
        <w:tc>
          <w:tcPr>
            <w:tcW w:w="1530" w:type="dxa"/>
            <w:shd w:val="clear" w:color="000000" w:fill="FFFFFF"/>
            <w:hideMark/>
          </w:tcPr>
          <w:p w14:paraId="33FB43E7" w14:textId="3B8104B2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t xml:space="preserve">$9.18 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4968CF5B" w14:textId="4DD99631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rPr>
                <w:szCs w:val="24"/>
              </w:rPr>
              <w:t>3.5%</w:t>
            </w:r>
          </w:p>
        </w:tc>
      </w:tr>
      <w:tr w:rsidR="00902176" w:rsidRPr="00F60B05" w14:paraId="02D468B5" w14:textId="77777777" w:rsidTr="00902176">
        <w:trPr>
          <w:trHeight w:val="250"/>
        </w:trPr>
        <w:tc>
          <w:tcPr>
            <w:tcW w:w="3680" w:type="dxa"/>
            <w:shd w:val="clear" w:color="auto" w:fill="auto"/>
            <w:vAlign w:val="bottom"/>
            <w:hideMark/>
          </w:tcPr>
          <w:p w14:paraId="58B56C51" w14:textId="77777777" w:rsidR="00902176" w:rsidRPr="00902176" w:rsidRDefault="00902176" w:rsidP="00902176">
            <w:pPr>
              <w:ind w:firstLineChars="100" w:firstLine="240"/>
              <w:rPr>
                <w:szCs w:val="24"/>
              </w:rPr>
            </w:pPr>
            <w:r w:rsidRPr="00902176">
              <w:rPr>
                <w:szCs w:val="24"/>
              </w:rPr>
              <w:t>EMPLOYEE + FAMILY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14:paraId="43095703" w14:textId="75805D4B" w:rsidR="00902176" w:rsidRPr="00902176" w:rsidRDefault="00902176" w:rsidP="00902176">
            <w:pPr>
              <w:jc w:val="right"/>
              <w:rPr>
                <w:szCs w:val="24"/>
                <w:highlight w:val="yellow"/>
              </w:rPr>
            </w:pPr>
            <w:r w:rsidRPr="00BD0AE1">
              <w:t xml:space="preserve">$354.54 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14:paraId="585BE408" w14:textId="138C817A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t>$366.95</w:t>
            </w:r>
          </w:p>
        </w:tc>
        <w:tc>
          <w:tcPr>
            <w:tcW w:w="1530" w:type="dxa"/>
            <w:shd w:val="clear" w:color="000000" w:fill="FFFFFF"/>
            <w:hideMark/>
          </w:tcPr>
          <w:p w14:paraId="5847EDDB" w14:textId="79B54E12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t>$12.41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5A7CDA6D" w14:textId="6876BF3D" w:rsidR="00902176" w:rsidRPr="00902176" w:rsidRDefault="00902176" w:rsidP="00902176">
            <w:pPr>
              <w:jc w:val="right"/>
              <w:rPr>
                <w:szCs w:val="24"/>
              </w:rPr>
            </w:pPr>
            <w:r w:rsidRPr="00902176">
              <w:rPr>
                <w:szCs w:val="24"/>
              </w:rPr>
              <w:t>3.5%</w:t>
            </w:r>
          </w:p>
        </w:tc>
      </w:tr>
    </w:tbl>
    <w:p w14:paraId="6122800C" w14:textId="77777777" w:rsidR="00916B36" w:rsidRPr="00D87D36" w:rsidRDefault="00916B36" w:rsidP="00916B36"/>
    <w:p w14:paraId="1F3D5224" w14:textId="327659C2" w:rsidR="00FF7208" w:rsidRDefault="00FF7208" w:rsidP="00022F7E"/>
    <w:p w14:paraId="64B28905" w14:textId="303F7CA1" w:rsidR="00075688" w:rsidRDefault="00075688" w:rsidP="00022F7E"/>
    <w:p w14:paraId="0E9CF0FA" w14:textId="35D55B0C" w:rsidR="00075688" w:rsidRDefault="00075688" w:rsidP="00022F7E"/>
    <w:tbl>
      <w:tblPr>
        <w:tblStyle w:val="TableGrid"/>
        <w:tblW w:w="987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757"/>
        <w:gridCol w:w="3060"/>
        <w:gridCol w:w="3060"/>
      </w:tblGrid>
      <w:tr w:rsidR="00902176" w:rsidRPr="00C61FA1" w14:paraId="61D6FA6D" w14:textId="77777777" w:rsidTr="00902176">
        <w:trPr>
          <w:trHeight w:val="692"/>
        </w:trPr>
        <w:tc>
          <w:tcPr>
            <w:tcW w:w="3757" w:type="dxa"/>
            <w:vMerge w:val="restart"/>
            <w:noWrap/>
            <w:vAlign w:val="bottom"/>
            <w:hideMark/>
          </w:tcPr>
          <w:p w14:paraId="4776B174" w14:textId="77777777" w:rsidR="00902176" w:rsidRPr="00902176" w:rsidRDefault="00902176" w:rsidP="00902176">
            <w:pPr>
              <w:tabs>
                <w:tab w:val="left" w:pos="1170"/>
                <w:tab w:val="left" w:pos="9990"/>
              </w:tabs>
              <w:ind w:right="324"/>
              <w:rPr>
                <w:b/>
                <w:bCs/>
                <w:szCs w:val="24"/>
              </w:rPr>
            </w:pPr>
            <w:r w:rsidRPr="00902176">
              <w:rPr>
                <w:b/>
                <w:bCs/>
                <w:szCs w:val="24"/>
              </w:rPr>
              <w:t>Dental</w:t>
            </w:r>
          </w:p>
        </w:tc>
        <w:tc>
          <w:tcPr>
            <w:tcW w:w="6120" w:type="dxa"/>
            <w:gridSpan w:val="2"/>
            <w:vAlign w:val="center"/>
            <w:hideMark/>
          </w:tcPr>
          <w:p w14:paraId="3CA0046F" w14:textId="21B47470" w:rsidR="00902176" w:rsidRPr="00902176" w:rsidRDefault="00902176" w:rsidP="00902176">
            <w:pPr>
              <w:tabs>
                <w:tab w:val="left" w:pos="1170"/>
                <w:tab w:val="left" w:pos="9990"/>
              </w:tabs>
              <w:jc w:val="center"/>
              <w:rPr>
                <w:b/>
                <w:bCs/>
                <w:szCs w:val="24"/>
                <w:u w:val="single"/>
              </w:rPr>
            </w:pPr>
            <w:r w:rsidRPr="00902176">
              <w:rPr>
                <w:b/>
                <w:bCs/>
                <w:szCs w:val="24"/>
                <w:u w:val="single"/>
              </w:rPr>
              <w:t>Monthly Employee Contributions</w:t>
            </w:r>
          </w:p>
        </w:tc>
      </w:tr>
      <w:tr w:rsidR="00075688" w:rsidRPr="00C61FA1" w14:paraId="11C2888B" w14:textId="77777777" w:rsidTr="00902176">
        <w:trPr>
          <w:trHeight w:val="260"/>
        </w:trPr>
        <w:tc>
          <w:tcPr>
            <w:tcW w:w="3757" w:type="dxa"/>
            <w:vMerge/>
            <w:hideMark/>
          </w:tcPr>
          <w:p w14:paraId="0F521B37" w14:textId="77777777" w:rsidR="00075688" w:rsidRPr="00902176" w:rsidRDefault="00075688" w:rsidP="00707B15">
            <w:pPr>
              <w:tabs>
                <w:tab w:val="left" w:pos="1170"/>
                <w:tab w:val="left" w:pos="9990"/>
              </w:tabs>
              <w:ind w:right="324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060" w:type="dxa"/>
            <w:vAlign w:val="bottom"/>
            <w:hideMark/>
          </w:tcPr>
          <w:p w14:paraId="5BEACADF" w14:textId="2CC6F676" w:rsidR="00075688" w:rsidRPr="00902176" w:rsidRDefault="005F20E3" w:rsidP="00902176">
            <w:pPr>
              <w:tabs>
                <w:tab w:val="left" w:pos="1170"/>
                <w:tab w:val="left" w:pos="9990"/>
              </w:tabs>
              <w:ind w:right="324"/>
              <w:jc w:val="center"/>
              <w:rPr>
                <w:b/>
                <w:bCs/>
                <w:szCs w:val="24"/>
              </w:rPr>
            </w:pPr>
            <w:r w:rsidRPr="00902176">
              <w:rPr>
                <w:b/>
                <w:bCs/>
                <w:szCs w:val="24"/>
              </w:rPr>
              <w:t>202</w:t>
            </w:r>
            <w:r w:rsidR="00380146" w:rsidRPr="00902176">
              <w:rPr>
                <w:b/>
                <w:bCs/>
                <w:szCs w:val="24"/>
              </w:rPr>
              <w:t>2</w:t>
            </w:r>
          </w:p>
        </w:tc>
        <w:tc>
          <w:tcPr>
            <w:tcW w:w="3060" w:type="dxa"/>
            <w:vAlign w:val="bottom"/>
            <w:hideMark/>
          </w:tcPr>
          <w:p w14:paraId="5975A833" w14:textId="13E6647D" w:rsidR="00075688" w:rsidRPr="00902176" w:rsidRDefault="00071FB4" w:rsidP="00902176">
            <w:pPr>
              <w:tabs>
                <w:tab w:val="left" w:pos="1170"/>
                <w:tab w:val="left" w:pos="9990"/>
              </w:tabs>
              <w:ind w:right="324"/>
              <w:jc w:val="center"/>
              <w:rPr>
                <w:b/>
                <w:bCs/>
                <w:szCs w:val="24"/>
              </w:rPr>
            </w:pPr>
            <w:r w:rsidRPr="00902176">
              <w:rPr>
                <w:b/>
                <w:bCs/>
                <w:szCs w:val="24"/>
              </w:rPr>
              <w:t>202</w:t>
            </w:r>
            <w:r w:rsidR="00902176">
              <w:rPr>
                <w:b/>
                <w:bCs/>
                <w:szCs w:val="24"/>
              </w:rPr>
              <w:t>3</w:t>
            </w:r>
          </w:p>
        </w:tc>
      </w:tr>
      <w:tr w:rsidR="00380146" w:rsidRPr="00C61FA1" w14:paraId="09F1AE84" w14:textId="77777777" w:rsidTr="00902176">
        <w:trPr>
          <w:trHeight w:val="300"/>
        </w:trPr>
        <w:tc>
          <w:tcPr>
            <w:tcW w:w="3757" w:type="dxa"/>
            <w:noWrap/>
            <w:hideMark/>
          </w:tcPr>
          <w:p w14:paraId="6B28A9F7" w14:textId="77777777" w:rsidR="00380146" w:rsidRPr="00902176" w:rsidRDefault="00380146" w:rsidP="00380146">
            <w:pPr>
              <w:tabs>
                <w:tab w:val="left" w:pos="1170"/>
                <w:tab w:val="left" w:pos="9990"/>
              </w:tabs>
              <w:ind w:right="324"/>
              <w:jc w:val="both"/>
              <w:rPr>
                <w:szCs w:val="24"/>
              </w:rPr>
            </w:pPr>
            <w:r w:rsidRPr="00902176">
              <w:rPr>
                <w:szCs w:val="24"/>
              </w:rPr>
              <w:t>Employee</w:t>
            </w:r>
          </w:p>
        </w:tc>
        <w:tc>
          <w:tcPr>
            <w:tcW w:w="3060" w:type="dxa"/>
            <w:noWrap/>
            <w:hideMark/>
          </w:tcPr>
          <w:p w14:paraId="120D565B" w14:textId="4DB034DD" w:rsidR="00380146" w:rsidRPr="00902176" w:rsidRDefault="00380146" w:rsidP="00902176">
            <w:pPr>
              <w:tabs>
                <w:tab w:val="left" w:pos="1170"/>
                <w:tab w:val="left" w:pos="9990"/>
              </w:tabs>
              <w:ind w:right="324"/>
              <w:jc w:val="center"/>
              <w:rPr>
                <w:szCs w:val="24"/>
              </w:rPr>
            </w:pPr>
            <w:r w:rsidRPr="00902176">
              <w:rPr>
                <w:szCs w:val="24"/>
              </w:rPr>
              <w:t>$42.84</w:t>
            </w:r>
          </w:p>
        </w:tc>
        <w:tc>
          <w:tcPr>
            <w:tcW w:w="3060" w:type="dxa"/>
            <w:noWrap/>
            <w:hideMark/>
          </w:tcPr>
          <w:p w14:paraId="24B68AA5" w14:textId="12C183BA" w:rsidR="00380146" w:rsidRPr="00902176" w:rsidRDefault="00380146" w:rsidP="00902176">
            <w:pPr>
              <w:tabs>
                <w:tab w:val="left" w:pos="1170"/>
                <w:tab w:val="left" w:pos="9990"/>
              </w:tabs>
              <w:ind w:right="324"/>
              <w:jc w:val="center"/>
              <w:rPr>
                <w:szCs w:val="24"/>
              </w:rPr>
            </w:pPr>
            <w:r w:rsidRPr="00902176">
              <w:rPr>
                <w:szCs w:val="24"/>
              </w:rPr>
              <w:t>$42.84</w:t>
            </w:r>
          </w:p>
        </w:tc>
      </w:tr>
      <w:tr w:rsidR="00380146" w:rsidRPr="00C61FA1" w14:paraId="58DB942F" w14:textId="77777777" w:rsidTr="00902176">
        <w:trPr>
          <w:trHeight w:val="300"/>
        </w:trPr>
        <w:tc>
          <w:tcPr>
            <w:tcW w:w="3757" w:type="dxa"/>
            <w:noWrap/>
            <w:hideMark/>
          </w:tcPr>
          <w:p w14:paraId="17C0B7E0" w14:textId="77777777" w:rsidR="00380146" w:rsidRPr="00902176" w:rsidRDefault="00380146" w:rsidP="00380146">
            <w:pPr>
              <w:tabs>
                <w:tab w:val="left" w:pos="1170"/>
                <w:tab w:val="left" w:pos="9990"/>
              </w:tabs>
              <w:ind w:right="324"/>
              <w:jc w:val="both"/>
              <w:rPr>
                <w:szCs w:val="24"/>
              </w:rPr>
            </w:pPr>
            <w:r w:rsidRPr="00902176">
              <w:rPr>
                <w:szCs w:val="24"/>
              </w:rPr>
              <w:t>Employee + Spouse</w:t>
            </w:r>
          </w:p>
        </w:tc>
        <w:tc>
          <w:tcPr>
            <w:tcW w:w="3060" w:type="dxa"/>
            <w:noWrap/>
            <w:hideMark/>
          </w:tcPr>
          <w:p w14:paraId="575ACF82" w14:textId="2F4BC98F" w:rsidR="00380146" w:rsidRPr="00902176" w:rsidRDefault="00380146" w:rsidP="00902176">
            <w:pPr>
              <w:tabs>
                <w:tab w:val="left" w:pos="1170"/>
                <w:tab w:val="left" w:pos="9990"/>
              </w:tabs>
              <w:ind w:right="324"/>
              <w:jc w:val="center"/>
              <w:rPr>
                <w:szCs w:val="24"/>
              </w:rPr>
            </w:pPr>
            <w:r w:rsidRPr="00902176">
              <w:rPr>
                <w:szCs w:val="24"/>
              </w:rPr>
              <w:t>$77.87</w:t>
            </w:r>
          </w:p>
        </w:tc>
        <w:tc>
          <w:tcPr>
            <w:tcW w:w="3060" w:type="dxa"/>
            <w:noWrap/>
            <w:hideMark/>
          </w:tcPr>
          <w:p w14:paraId="51D7A4D6" w14:textId="76732C88" w:rsidR="00380146" w:rsidRPr="00902176" w:rsidRDefault="00380146" w:rsidP="00902176">
            <w:pPr>
              <w:tabs>
                <w:tab w:val="left" w:pos="1170"/>
                <w:tab w:val="left" w:pos="9990"/>
              </w:tabs>
              <w:ind w:right="324"/>
              <w:jc w:val="center"/>
              <w:rPr>
                <w:szCs w:val="24"/>
              </w:rPr>
            </w:pPr>
            <w:r w:rsidRPr="00902176">
              <w:rPr>
                <w:szCs w:val="24"/>
              </w:rPr>
              <w:t>$77.87</w:t>
            </w:r>
          </w:p>
        </w:tc>
      </w:tr>
      <w:tr w:rsidR="00380146" w:rsidRPr="00C61FA1" w14:paraId="4FC3C4D1" w14:textId="77777777" w:rsidTr="00902176">
        <w:trPr>
          <w:trHeight w:val="300"/>
        </w:trPr>
        <w:tc>
          <w:tcPr>
            <w:tcW w:w="3757" w:type="dxa"/>
            <w:noWrap/>
            <w:hideMark/>
          </w:tcPr>
          <w:p w14:paraId="7AD0C53C" w14:textId="77777777" w:rsidR="00380146" w:rsidRPr="00902176" w:rsidRDefault="00380146" w:rsidP="00380146">
            <w:pPr>
              <w:tabs>
                <w:tab w:val="left" w:pos="1170"/>
                <w:tab w:val="left" w:pos="9990"/>
              </w:tabs>
              <w:ind w:right="324"/>
              <w:jc w:val="both"/>
              <w:rPr>
                <w:szCs w:val="24"/>
              </w:rPr>
            </w:pPr>
            <w:r w:rsidRPr="00902176">
              <w:rPr>
                <w:szCs w:val="24"/>
              </w:rPr>
              <w:t>Employee + Child(ren)</w:t>
            </w:r>
          </w:p>
        </w:tc>
        <w:tc>
          <w:tcPr>
            <w:tcW w:w="3060" w:type="dxa"/>
            <w:noWrap/>
            <w:hideMark/>
          </w:tcPr>
          <w:p w14:paraId="362B79CC" w14:textId="1579E7D3" w:rsidR="00380146" w:rsidRPr="00902176" w:rsidRDefault="00380146" w:rsidP="00902176">
            <w:pPr>
              <w:tabs>
                <w:tab w:val="left" w:pos="1170"/>
                <w:tab w:val="left" w:pos="9990"/>
              </w:tabs>
              <w:ind w:right="324"/>
              <w:jc w:val="center"/>
              <w:rPr>
                <w:szCs w:val="24"/>
              </w:rPr>
            </w:pPr>
            <w:r w:rsidRPr="00902176">
              <w:rPr>
                <w:szCs w:val="24"/>
              </w:rPr>
              <w:t>$106.23</w:t>
            </w:r>
          </w:p>
        </w:tc>
        <w:tc>
          <w:tcPr>
            <w:tcW w:w="3060" w:type="dxa"/>
            <w:noWrap/>
            <w:hideMark/>
          </w:tcPr>
          <w:p w14:paraId="3CEC4946" w14:textId="151C1EB5" w:rsidR="00380146" w:rsidRPr="00902176" w:rsidRDefault="00380146" w:rsidP="00902176">
            <w:pPr>
              <w:tabs>
                <w:tab w:val="left" w:pos="1170"/>
                <w:tab w:val="left" w:pos="9990"/>
              </w:tabs>
              <w:ind w:right="324"/>
              <w:jc w:val="center"/>
              <w:rPr>
                <w:szCs w:val="24"/>
              </w:rPr>
            </w:pPr>
            <w:r w:rsidRPr="00902176">
              <w:rPr>
                <w:szCs w:val="24"/>
              </w:rPr>
              <w:t>$106.23</w:t>
            </w:r>
          </w:p>
        </w:tc>
      </w:tr>
      <w:tr w:rsidR="00380146" w:rsidRPr="00C61FA1" w14:paraId="1553939D" w14:textId="77777777" w:rsidTr="00902176">
        <w:trPr>
          <w:trHeight w:val="300"/>
        </w:trPr>
        <w:tc>
          <w:tcPr>
            <w:tcW w:w="3757" w:type="dxa"/>
            <w:noWrap/>
            <w:hideMark/>
          </w:tcPr>
          <w:p w14:paraId="24625D38" w14:textId="77777777" w:rsidR="00380146" w:rsidRPr="00902176" w:rsidRDefault="00F04D4A" w:rsidP="00380146">
            <w:pPr>
              <w:tabs>
                <w:tab w:val="left" w:pos="1170"/>
                <w:tab w:val="left" w:pos="9990"/>
              </w:tabs>
              <w:ind w:right="324"/>
              <w:jc w:val="both"/>
              <w:rPr>
                <w:szCs w:val="24"/>
              </w:rPr>
            </w:pPr>
            <w:hyperlink r:id="rId12" w:tooltip="Drill to B. Current Total Member Months" w:history="1">
              <w:r w:rsidR="00380146" w:rsidRPr="00902176">
                <w:rPr>
                  <w:rStyle w:val="Hyperlink"/>
                  <w:color w:val="auto"/>
                  <w:szCs w:val="24"/>
                  <w:u w:val="none"/>
                </w:rPr>
                <w:t>Employee + Family</w:t>
              </w:r>
            </w:hyperlink>
          </w:p>
        </w:tc>
        <w:tc>
          <w:tcPr>
            <w:tcW w:w="3060" w:type="dxa"/>
            <w:noWrap/>
            <w:hideMark/>
          </w:tcPr>
          <w:p w14:paraId="6C9EF845" w14:textId="428AB8D1" w:rsidR="00380146" w:rsidRPr="00902176" w:rsidRDefault="00380146" w:rsidP="00902176">
            <w:pPr>
              <w:tabs>
                <w:tab w:val="left" w:pos="1170"/>
                <w:tab w:val="left" w:pos="9990"/>
              </w:tabs>
              <w:ind w:right="324"/>
              <w:jc w:val="center"/>
              <w:rPr>
                <w:szCs w:val="24"/>
              </w:rPr>
            </w:pPr>
            <w:r w:rsidRPr="00902176">
              <w:rPr>
                <w:szCs w:val="24"/>
              </w:rPr>
              <w:t>$149.11</w:t>
            </w:r>
          </w:p>
        </w:tc>
        <w:tc>
          <w:tcPr>
            <w:tcW w:w="3060" w:type="dxa"/>
            <w:noWrap/>
            <w:hideMark/>
          </w:tcPr>
          <w:p w14:paraId="29A7617C" w14:textId="21E9E40E" w:rsidR="00380146" w:rsidRPr="00902176" w:rsidRDefault="00380146" w:rsidP="00902176">
            <w:pPr>
              <w:tabs>
                <w:tab w:val="left" w:pos="1170"/>
                <w:tab w:val="left" w:pos="9990"/>
              </w:tabs>
              <w:ind w:right="324"/>
              <w:jc w:val="center"/>
              <w:rPr>
                <w:szCs w:val="24"/>
              </w:rPr>
            </w:pPr>
            <w:r w:rsidRPr="00902176">
              <w:rPr>
                <w:szCs w:val="24"/>
              </w:rPr>
              <w:t>$149.11</w:t>
            </w:r>
          </w:p>
        </w:tc>
      </w:tr>
    </w:tbl>
    <w:p w14:paraId="5512A5FD" w14:textId="77777777" w:rsidR="00075688" w:rsidRPr="00D87D36" w:rsidRDefault="00075688" w:rsidP="00022F7E"/>
    <w:sectPr w:rsidR="00075688" w:rsidRPr="00D87D36" w:rsidSect="00830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5906" w14:textId="77777777" w:rsidR="004A3693" w:rsidRDefault="004A3693" w:rsidP="00921AAF">
      <w:r>
        <w:separator/>
      </w:r>
    </w:p>
  </w:endnote>
  <w:endnote w:type="continuationSeparator" w:id="0">
    <w:p w14:paraId="00E438B3" w14:textId="77777777" w:rsidR="004A3693" w:rsidRDefault="004A3693" w:rsidP="0092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F1E73" w14:textId="77777777" w:rsidR="004A3693" w:rsidRDefault="004A3693" w:rsidP="00921AAF">
      <w:r>
        <w:separator/>
      </w:r>
    </w:p>
  </w:footnote>
  <w:footnote w:type="continuationSeparator" w:id="0">
    <w:p w14:paraId="6F3218EA" w14:textId="77777777" w:rsidR="004A3693" w:rsidRDefault="004A3693" w:rsidP="0092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361D"/>
    <w:multiLevelType w:val="hybridMultilevel"/>
    <w:tmpl w:val="66B8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C28AB"/>
    <w:multiLevelType w:val="hybridMultilevel"/>
    <w:tmpl w:val="D1D0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03BC2"/>
    <w:multiLevelType w:val="hybridMultilevel"/>
    <w:tmpl w:val="973C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45971"/>
    <w:multiLevelType w:val="hybridMultilevel"/>
    <w:tmpl w:val="17A8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43EDC"/>
    <w:multiLevelType w:val="hybridMultilevel"/>
    <w:tmpl w:val="6FFE0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870870">
    <w:abstractNumId w:val="0"/>
  </w:num>
  <w:num w:numId="2" w16cid:durableId="1317689550">
    <w:abstractNumId w:val="2"/>
  </w:num>
  <w:num w:numId="3" w16cid:durableId="959914784">
    <w:abstractNumId w:val="4"/>
  </w:num>
  <w:num w:numId="4" w16cid:durableId="2059015086">
    <w:abstractNumId w:val="1"/>
  </w:num>
  <w:num w:numId="5" w16cid:durableId="872882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36"/>
    <w:rsid w:val="00017812"/>
    <w:rsid w:val="00022F7E"/>
    <w:rsid w:val="000318DA"/>
    <w:rsid w:val="00036A1E"/>
    <w:rsid w:val="00071FB4"/>
    <w:rsid w:val="00075416"/>
    <w:rsid w:val="00075688"/>
    <w:rsid w:val="00082EE2"/>
    <w:rsid w:val="000A137E"/>
    <w:rsid w:val="000B7881"/>
    <w:rsid w:val="000C6E99"/>
    <w:rsid w:val="0010539A"/>
    <w:rsid w:val="00115D91"/>
    <w:rsid w:val="00124B79"/>
    <w:rsid w:val="00125771"/>
    <w:rsid w:val="00154514"/>
    <w:rsid w:val="00161711"/>
    <w:rsid w:val="001A582E"/>
    <w:rsid w:val="001C1C1B"/>
    <w:rsid w:val="001C694C"/>
    <w:rsid w:val="001E1FC1"/>
    <w:rsid w:val="001E509C"/>
    <w:rsid w:val="002219CA"/>
    <w:rsid w:val="00241B64"/>
    <w:rsid w:val="00241E41"/>
    <w:rsid w:val="00243118"/>
    <w:rsid w:val="002679F4"/>
    <w:rsid w:val="002B1EAD"/>
    <w:rsid w:val="00380146"/>
    <w:rsid w:val="003A08E6"/>
    <w:rsid w:val="003A1FE2"/>
    <w:rsid w:val="003B594A"/>
    <w:rsid w:val="003D0BD5"/>
    <w:rsid w:val="003E7F47"/>
    <w:rsid w:val="00443661"/>
    <w:rsid w:val="004A3693"/>
    <w:rsid w:val="004A690B"/>
    <w:rsid w:val="004C303A"/>
    <w:rsid w:val="004C688B"/>
    <w:rsid w:val="005043CB"/>
    <w:rsid w:val="00523930"/>
    <w:rsid w:val="00561725"/>
    <w:rsid w:val="00566E34"/>
    <w:rsid w:val="00570A9C"/>
    <w:rsid w:val="00574105"/>
    <w:rsid w:val="00574445"/>
    <w:rsid w:val="005A313D"/>
    <w:rsid w:val="005D5285"/>
    <w:rsid w:val="005E1C19"/>
    <w:rsid w:val="005F20E3"/>
    <w:rsid w:val="005F4C0F"/>
    <w:rsid w:val="00603120"/>
    <w:rsid w:val="006063EF"/>
    <w:rsid w:val="0061779D"/>
    <w:rsid w:val="00631741"/>
    <w:rsid w:val="006648DE"/>
    <w:rsid w:val="00685CFB"/>
    <w:rsid w:val="006F2FB0"/>
    <w:rsid w:val="00700D67"/>
    <w:rsid w:val="007236F6"/>
    <w:rsid w:val="00724720"/>
    <w:rsid w:val="00763BFF"/>
    <w:rsid w:val="007651F5"/>
    <w:rsid w:val="007B292D"/>
    <w:rsid w:val="007B483A"/>
    <w:rsid w:val="00830834"/>
    <w:rsid w:val="00832CE1"/>
    <w:rsid w:val="00836CE8"/>
    <w:rsid w:val="00844935"/>
    <w:rsid w:val="008933E0"/>
    <w:rsid w:val="00894CE2"/>
    <w:rsid w:val="00902176"/>
    <w:rsid w:val="00916B36"/>
    <w:rsid w:val="00921AAF"/>
    <w:rsid w:val="00971BE8"/>
    <w:rsid w:val="00975CFC"/>
    <w:rsid w:val="00996692"/>
    <w:rsid w:val="00A2123B"/>
    <w:rsid w:val="00A267C6"/>
    <w:rsid w:val="00A33E5F"/>
    <w:rsid w:val="00A42B11"/>
    <w:rsid w:val="00AD507B"/>
    <w:rsid w:val="00AD6D0D"/>
    <w:rsid w:val="00AE351F"/>
    <w:rsid w:val="00B32C63"/>
    <w:rsid w:val="00B3562E"/>
    <w:rsid w:val="00B524C8"/>
    <w:rsid w:val="00B56E36"/>
    <w:rsid w:val="00BA16DA"/>
    <w:rsid w:val="00BC1F5C"/>
    <w:rsid w:val="00C05477"/>
    <w:rsid w:val="00C32516"/>
    <w:rsid w:val="00C34314"/>
    <w:rsid w:val="00C4147D"/>
    <w:rsid w:val="00C61FA1"/>
    <w:rsid w:val="00C73D02"/>
    <w:rsid w:val="00C819C9"/>
    <w:rsid w:val="00C84DAA"/>
    <w:rsid w:val="00CA3AB4"/>
    <w:rsid w:val="00CE5380"/>
    <w:rsid w:val="00D3507D"/>
    <w:rsid w:val="00D421B9"/>
    <w:rsid w:val="00D87D36"/>
    <w:rsid w:val="00DA223D"/>
    <w:rsid w:val="00DF0598"/>
    <w:rsid w:val="00DF700B"/>
    <w:rsid w:val="00E0476F"/>
    <w:rsid w:val="00E04917"/>
    <w:rsid w:val="00EA72E4"/>
    <w:rsid w:val="00EC0D77"/>
    <w:rsid w:val="00ED022E"/>
    <w:rsid w:val="00F019EE"/>
    <w:rsid w:val="00F04D4A"/>
    <w:rsid w:val="00F60B05"/>
    <w:rsid w:val="00F613A6"/>
    <w:rsid w:val="00F62202"/>
    <w:rsid w:val="00F77368"/>
    <w:rsid w:val="00F83174"/>
    <w:rsid w:val="00FA2AF7"/>
    <w:rsid w:val="00FB234C"/>
    <w:rsid w:val="00FC147E"/>
    <w:rsid w:val="00FF630B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301463"/>
  <w15:docId w15:val="{99AD32DB-7EFD-474D-8F95-170B2652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B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6B36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3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6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D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D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D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61725"/>
    <w:pPr>
      <w:ind w:left="720"/>
      <w:contextualSpacing/>
    </w:pPr>
  </w:style>
  <w:style w:type="paragraph" w:styleId="Revision">
    <w:name w:val="Revision"/>
    <w:hidden/>
    <w:uiPriority w:val="99"/>
    <w:semiHidden/>
    <w:rsid w:val="00F622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F7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FA1"/>
    <w:rPr>
      <w:color w:val="00A0D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r.ingenix.com/asp/RebuildReport.asp?ReportID=1C1F6FC445917638598216889E2B568B&amp;MsgID=52348BDD47531D665925ABB22F53BE69&amp;drillTo=2,1,9,-1,11&amp;Duplicate=Fal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age@elon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370BEAECD64889A94A7C6DBAEE42" ma:contentTypeVersion="15" ma:contentTypeDescription="Create a new document." ma:contentTypeScope="" ma:versionID="72459f54f7bd7701b368eb5821bd8a1e">
  <xsd:schema xmlns:xsd="http://www.w3.org/2001/XMLSchema" xmlns:xs="http://www.w3.org/2001/XMLSchema" xmlns:p="http://schemas.microsoft.com/office/2006/metadata/properties" xmlns:ns1="http://schemas.microsoft.com/sharepoint/v3" xmlns:ns3="cb59eb99-7fde-439c-812c-ed1e900fb1b6" xmlns:ns4="0c853ce1-8cee-4e29-afa2-90262642c902" targetNamespace="http://schemas.microsoft.com/office/2006/metadata/properties" ma:root="true" ma:fieldsID="12ef52e29344ecaa7bfe88bbb9903a56" ns1:_="" ns3:_="" ns4:_="">
    <xsd:import namespace="http://schemas.microsoft.com/sharepoint/v3"/>
    <xsd:import namespace="cb59eb99-7fde-439c-812c-ed1e900fb1b6"/>
    <xsd:import namespace="0c853ce1-8cee-4e29-afa2-90262642c9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9eb99-7fde-439c-812c-ed1e900fb1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53ce1-8cee-4e29-afa2-90262642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30C329-051E-4CDB-A7C2-CAFB559A4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DBF17-BC75-4A79-A8D7-54EA63B1B0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B58F908-8695-46AA-99DA-C8A39A63D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59eb99-7fde-439c-812c-ed1e900fb1b6"/>
    <ds:schemaRef ds:uri="0c853ce1-8cee-4e29-afa2-90262642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Jureit</dc:creator>
  <cp:lastModifiedBy>Stephanie Hicks</cp:lastModifiedBy>
  <cp:revision>3</cp:revision>
  <cp:lastPrinted>2019-09-11T12:47:00Z</cp:lastPrinted>
  <dcterms:created xsi:type="dcterms:W3CDTF">2022-10-04T12:46:00Z</dcterms:created>
  <dcterms:modified xsi:type="dcterms:W3CDTF">2022-10-05T15:35:00Z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0x010100CD41370BEAECD64889A94A7C6DBAEE42</vt:lpwstr>
  </property>
  <property fmtid="{D5CDD505-2E9C-101B-9397-08002B2CF9AE}" pid="3" name="_NewReviewCycle">
    <vt:lpwstr/>
  </property>
  <property fmtid="{D5CDD505-2E9C-101B-9397-08002B2CF9AE}" pid="4" name="MSIP_Label_d347b247-e90e-43a3-9d7b-004f14ae6873_Enabled">
    <vt:lpwstr>true</vt:lpwstr>
  </property>
  <property fmtid="{D5CDD505-2E9C-101B-9397-08002B2CF9AE}" pid="5" name="MSIP_Label_d347b247-e90e-43a3-9d7b-004f14ae6873_SetDate">
    <vt:lpwstr>2021-09-27T15:31:13Z</vt:lpwstr>
  </property>
  <property fmtid="{D5CDD505-2E9C-101B-9397-08002B2CF9AE}" pid="6" name="MSIP_Label_d347b247-e90e-43a3-9d7b-004f14ae6873_Method">
    <vt:lpwstr>Standard</vt:lpwstr>
  </property>
  <property fmtid="{D5CDD505-2E9C-101B-9397-08002B2CF9AE}" pid="7" name="MSIP_Label_d347b247-e90e-43a3-9d7b-004f14ae6873_Name">
    <vt:lpwstr>d347b247-e90e-43a3-9d7b-004f14ae6873</vt:lpwstr>
  </property>
  <property fmtid="{D5CDD505-2E9C-101B-9397-08002B2CF9AE}" pid="8" name="MSIP_Label_d347b247-e90e-43a3-9d7b-004f14ae6873_SiteId">
    <vt:lpwstr>76e3921f-489b-4b7e-9547-9ea297add9b5</vt:lpwstr>
  </property>
  <property fmtid="{D5CDD505-2E9C-101B-9397-08002B2CF9AE}" pid="9" name="MSIP_Label_d347b247-e90e-43a3-9d7b-004f14ae6873_ActionId">
    <vt:lpwstr>40b1e396-436f-4dc1-bc3e-3bda8ae76f15</vt:lpwstr>
  </property>
  <property fmtid="{D5CDD505-2E9C-101B-9397-08002B2CF9AE}" pid="10" name="MSIP_Label_d347b247-e90e-43a3-9d7b-004f14ae6873_ContentBits">
    <vt:lpwstr>0</vt:lpwstr>
  </property>
</Properties>
</file>